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810F0">
      <w:pPr>
        <w:shd w:val="clear"/>
        <w:spacing w:after="0"/>
        <w:ind w:right="-2"/>
        <w:jc w:val="left"/>
        <w:rPr>
          <w:rFonts w:hint="eastAsia" w:ascii="宋体" w:hAnsi="宋体" w:eastAsia="宋体"/>
          <w:color w:val="auto"/>
          <w:sz w:val="44"/>
          <w:szCs w:val="44"/>
          <w:highlight w:val="none"/>
          <w:lang w:eastAsia="zh-CN"/>
        </w:rPr>
      </w:pPr>
    </w:p>
    <w:p w14:paraId="35D42BE5">
      <w:pPr>
        <w:shd w:val="clear"/>
        <w:spacing w:after="0"/>
        <w:ind w:right="-2"/>
        <w:jc w:val="left"/>
        <w:rPr>
          <w:rFonts w:hint="eastAsia" w:ascii="宋体" w:hAnsi="宋体"/>
          <w:color w:val="auto"/>
          <w:sz w:val="44"/>
          <w:szCs w:val="44"/>
          <w:highlight w:val="none"/>
        </w:rPr>
      </w:pPr>
    </w:p>
    <w:p w14:paraId="5010B9FA">
      <w:pPr>
        <w:shd w:val="clear"/>
        <w:spacing w:after="0" w:line="360" w:lineRule="auto"/>
        <w:ind w:right="-2"/>
        <w:jc w:val="center"/>
        <w:rPr>
          <w:rFonts w:hint="eastAsia" w:ascii="宋体" w:hAnsi="宋体"/>
          <w:b/>
          <w:bCs/>
          <w:color w:val="auto"/>
          <w:sz w:val="44"/>
          <w:szCs w:val="44"/>
          <w:highlight w:val="none"/>
        </w:rPr>
      </w:pPr>
      <w:r>
        <w:rPr>
          <w:rFonts w:hint="eastAsia" w:ascii="宋体" w:hAnsi="宋体"/>
          <w:b/>
          <w:bCs/>
          <w:color w:val="auto"/>
          <w:sz w:val="52"/>
          <w:szCs w:val="52"/>
          <w:highlight w:val="none"/>
        </w:rPr>
        <w:t>东港商务区2025年灯光音乐喷泉运行维护项目</w:t>
      </w:r>
    </w:p>
    <w:p w14:paraId="7B9D7C49">
      <w:pPr>
        <w:shd w:val="clear"/>
        <w:spacing w:after="0"/>
        <w:ind w:right="-2"/>
        <w:jc w:val="center"/>
        <w:rPr>
          <w:rFonts w:hint="eastAsia" w:ascii="宋体" w:hAnsi="宋体"/>
          <w:b/>
          <w:bCs/>
          <w:color w:val="auto"/>
          <w:sz w:val="32"/>
          <w:szCs w:val="32"/>
          <w:highlight w:val="none"/>
        </w:rPr>
      </w:pPr>
    </w:p>
    <w:p w14:paraId="24813875">
      <w:pPr>
        <w:shd w:val="clear"/>
        <w:spacing w:after="0"/>
        <w:ind w:right="-2"/>
        <w:jc w:val="center"/>
        <w:rPr>
          <w:rFonts w:hint="eastAsia" w:ascii="宋体" w:hAnsi="宋体"/>
          <w:b/>
          <w:bCs/>
          <w:color w:val="auto"/>
          <w:sz w:val="32"/>
          <w:szCs w:val="32"/>
          <w:highlight w:val="none"/>
        </w:rPr>
      </w:pPr>
    </w:p>
    <w:p w14:paraId="10BBB4BE">
      <w:pPr>
        <w:shd w:val="clear"/>
        <w:spacing w:after="0"/>
        <w:ind w:right="-2"/>
        <w:jc w:val="center"/>
        <w:rPr>
          <w:rFonts w:hint="eastAsia" w:ascii="宋体" w:hAnsi="宋体"/>
          <w:b/>
          <w:bCs/>
          <w:color w:val="auto"/>
          <w:sz w:val="32"/>
          <w:szCs w:val="32"/>
          <w:highlight w:val="none"/>
        </w:rPr>
      </w:pPr>
    </w:p>
    <w:p w14:paraId="2883C619">
      <w:pPr>
        <w:shd w:val="clear"/>
        <w:spacing w:after="0"/>
        <w:ind w:right="-2"/>
        <w:jc w:val="center"/>
        <w:rPr>
          <w:rFonts w:hint="eastAsia" w:ascii="宋体" w:hAnsi="宋体"/>
          <w:b/>
          <w:bCs/>
          <w:color w:val="auto"/>
          <w:sz w:val="116"/>
          <w:szCs w:val="116"/>
          <w:highlight w:val="none"/>
        </w:rPr>
      </w:pPr>
      <w:r>
        <w:rPr>
          <w:rFonts w:hint="eastAsia" w:ascii="宋体" w:hAnsi="宋体"/>
          <w:b/>
          <w:bCs/>
          <w:color w:val="auto"/>
          <w:sz w:val="116"/>
          <w:szCs w:val="116"/>
          <w:highlight w:val="none"/>
        </w:rPr>
        <w:t>招 标 文 件</w:t>
      </w:r>
    </w:p>
    <w:p w14:paraId="474A1233">
      <w:pPr>
        <w:shd w:val="clear"/>
        <w:spacing w:after="0"/>
        <w:ind w:right="-2"/>
        <w:rPr>
          <w:rFonts w:hint="eastAsia" w:ascii="宋体" w:hAnsi="宋体"/>
          <w:b/>
          <w:color w:val="auto"/>
          <w:highlight w:val="none"/>
        </w:rPr>
      </w:pPr>
    </w:p>
    <w:p w14:paraId="7907CB67">
      <w:pPr>
        <w:shd w:val="clear"/>
        <w:spacing w:after="0"/>
        <w:ind w:right="-2"/>
        <w:rPr>
          <w:rFonts w:hint="eastAsia" w:ascii="宋体" w:hAnsi="宋体"/>
          <w:b/>
          <w:color w:val="auto"/>
          <w:highlight w:val="none"/>
        </w:rPr>
      </w:pPr>
    </w:p>
    <w:p w14:paraId="23DA01D3">
      <w:pPr>
        <w:shd w:val="clear"/>
        <w:spacing w:after="0"/>
        <w:ind w:right="-2"/>
        <w:rPr>
          <w:rFonts w:hint="eastAsia" w:ascii="宋体" w:hAnsi="宋体"/>
          <w:b/>
          <w:color w:val="auto"/>
          <w:highlight w:val="none"/>
        </w:rPr>
      </w:pPr>
    </w:p>
    <w:p w14:paraId="17730725">
      <w:pPr>
        <w:shd w:val="clear"/>
        <w:spacing w:after="0"/>
        <w:ind w:right="-2"/>
        <w:jc w:val="center"/>
        <w:rPr>
          <w:rFonts w:hint="eastAsia" w:ascii="宋体" w:hAnsi="宋体"/>
          <w:color w:val="auto"/>
          <w:sz w:val="32"/>
          <w:szCs w:val="32"/>
          <w:highlight w:val="none"/>
        </w:rPr>
      </w:pPr>
      <w:r>
        <w:rPr>
          <w:rFonts w:hint="eastAsia" w:ascii="宋体" w:hAnsi="宋体"/>
          <w:color w:val="auto"/>
          <w:sz w:val="32"/>
          <w:szCs w:val="32"/>
          <w:highlight w:val="none"/>
        </w:rPr>
        <w:t>（项目编号：</w:t>
      </w:r>
      <w:r>
        <w:rPr>
          <w:rFonts w:ascii="宋体" w:hAnsi="宋体"/>
          <w:color w:val="auto"/>
          <w:sz w:val="32"/>
          <w:szCs w:val="32"/>
          <w:highlight w:val="none"/>
        </w:rPr>
        <w:t>HTZB20250423</w:t>
      </w:r>
      <w:r>
        <w:rPr>
          <w:rFonts w:hint="eastAsia" w:ascii="宋体" w:hAnsi="宋体"/>
          <w:color w:val="auto"/>
          <w:sz w:val="32"/>
          <w:szCs w:val="32"/>
          <w:highlight w:val="none"/>
        </w:rPr>
        <w:t>）</w:t>
      </w:r>
    </w:p>
    <w:p w14:paraId="7207A9D9">
      <w:pPr>
        <w:shd w:val="clear"/>
        <w:spacing w:after="0"/>
        <w:ind w:right="-2"/>
        <w:rPr>
          <w:rFonts w:hint="eastAsia" w:ascii="宋体" w:hAnsi="宋体"/>
          <w:color w:val="auto"/>
          <w:sz w:val="32"/>
          <w:szCs w:val="32"/>
          <w:highlight w:val="none"/>
        </w:rPr>
      </w:pPr>
    </w:p>
    <w:p w14:paraId="427D8C1E">
      <w:pPr>
        <w:shd w:val="clear"/>
        <w:spacing w:after="0"/>
        <w:ind w:right="-2"/>
        <w:rPr>
          <w:rFonts w:hint="eastAsia" w:ascii="宋体" w:hAnsi="宋体"/>
          <w:b/>
          <w:color w:val="auto"/>
          <w:highlight w:val="none"/>
        </w:rPr>
      </w:pPr>
      <w:r>
        <w:rPr>
          <w:rFonts w:hint="eastAsia" w:ascii="宋体" w:hAnsi="宋体"/>
          <w:b/>
          <w:color w:val="auto"/>
          <w:sz w:val="32"/>
          <w:szCs w:val="32"/>
          <w:highlight w:val="none"/>
        </w:rPr>
        <w:drawing>
          <wp:anchor distT="0" distB="0" distL="114300" distR="114300" simplePos="0" relativeHeight="251659264" behindDoc="1" locked="0" layoutInCell="1" allowOverlap="1">
            <wp:simplePos x="0" y="0"/>
            <wp:positionH relativeFrom="column">
              <wp:posOffset>1915795</wp:posOffset>
            </wp:positionH>
            <wp:positionV relativeFrom="paragraph">
              <wp:posOffset>53340</wp:posOffset>
            </wp:positionV>
            <wp:extent cx="1569085" cy="1720215"/>
            <wp:effectExtent l="0" t="0" r="0" b="0"/>
            <wp:wrapTight wrapText="bothSides">
              <wp:wrapPolygon>
                <wp:start x="0" y="0"/>
                <wp:lineTo x="0" y="21289"/>
                <wp:lineTo x="21242" y="21289"/>
                <wp:lineTo x="21242" y="0"/>
                <wp:lineTo x="0" y="0"/>
              </wp:wrapPolygon>
            </wp:wrapTight>
            <wp:docPr id="1124543615" name="图片 1" descr="166961640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43615" name="图片 1" descr="16696164032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569085" cy="1720215"/>
                    </a:xfrm>
                    <a:prstGeom prst="rect">
                      <a:avLst/>
                    </a:prstGeom>
                    <a:noFill/>
                    <a:ln>
                      <a:noFill/>
                    </a:ln>
                  </pic:spPr>
                </pic:pic>
              </a:graphicData>
            </a:graphic>
          </wp:anchor>
        </w:drawing>
      </w:r>
    </w:p>
    <w:p w14:paraId="7B2D1658">
      <w:pPr>
        <w:shd w:val="clear"/>
        <w:spacing w:after="0"/>
        <w:ind w:right="-2"/>
        <w:rPr>
          <w:rFonts w:hint="eastAsia" w:ascii="宋体" w:hAnsi="宋体"/>
          <w:b/>
          <w:color w:val="auto"/>
          <w:highlight w:val="none"/>
        </w:rPr>
      </w:pPr>
    </w:p>
    <w:p w14:paraId="328FA61D">
      <w:pPr>
        <w:shd w:val="clear"/>
        <w:spacing w:after="0"/>
        <w:ind w:right="-2"/>
        <w:rPr>
          <w:rFonts w:hint="eastAsia" w:ascii="宋体" w:hAnsi="宋体"/>
          <w:b/>
          <w:color w:val="auto"/>
          <w:highlight w:val="none"/>
        </w:rPr>
      </w:pPr>
    </w:p>
    <w:p w14:paraId="4C47ABB8">
      <w:pPr>
        <w:shd w:val="clear"/>
        <w:spacing w:after="0"/>
        <w:ind w:right="-2"/>
        <w:rPr>
          <w:rFonts w:hint="eastAsia" w:ascii="宋体" w:hAnsi="宋体"/>
          <w:b/>
          <w:color w:val="auto"/>
          <w:highlight w:val="none"/>
        </w:rPr>
      </w:pPr>
    </w:p>
    <w:p w14:paraId="4E865187">
      <w:pPr>
        <w:shd w:val="clear"/>
        <w:spacing w:after="0"/>
        <w:ind w:right="-2"/>
        <w:rPr>
          <w:rFonts w:hint="eastAsia" w:ascii="宋体" w:hAnsi="宋体"/>
          <w:b/>
          <w:color w:val="auto"/>
          <w:highlight w:val="none"/>
        </w:rPr>
      </w:pPr>
    </w:p>
    <w:p w14:paraId="79F36AE7">
      <w:pPr>
        <w:shd w:val="clear"/>
        <w:spacing w:after="0"/>
        <w:ind w:right="-2"/>
        <w:rPr>
          <w:rFonts w:hint="eastAsia" w:ascii="宋体" w:hAnsi="宋体"/>
          <w:b/>
          <w:color w:val="auto"/>
          <w:highlight w:val="none"/>
        </w:rPr>
      </w:pPr>
    </w:p>
    <w:p w14:paraId="73727264">
      <w:pPr>
        <w:shd w:val="clear"/>
        <w:spacing w:after="0"/>
        <w:ind w:right="-2"/>
        <w:rPr>
          <w:rFonts w:hint="eastAsia" w:ascii="宋体" w:hAnsi="宋体"/>
          <w:b/>
          <w:color w:val="auto"/>
          <w:highlight w:val="none"/>
        </w:rPr>
      </w:pPr>
    </w:p>
    <w:p w14:paraId="03052143">
      <w:pPr>
        <w:shd w:val="clear"/>
        <w:spacing w:after="0"/>
        <w:ind w:right="-2"/>
        <w:rPr>
          <w:rFonts w:hint="eastAsia" w:ascii="宋体" w:hAnsi="宋体"/>
          <w:b/>
          <w:color w:val="auto"/>
          <w:highlight w:val="none"/>
        </w:rPr>
      </w:pPr>
    </w:p>
    <w:p w14:paraId="284A50C1">
      <w:pPr>
        <w:shd w:val="clear"/>
        <w:spacing w:after="0"/>
        <w:ind w:right="-2"/>
        <w:rPr>
          <w:rFonts w:hint="eastAsia" w:ascii="宋体" w:hAnsi="宋体"/>
          <w:b/>
          <w:color w:val="auto"/>
          <w:highlight w:val="none"/>
        </w:rPr>
      </w:pPr>
    </w:p>
    <w:p w14:paraId="0E36108C">
      <w:pPr>
        <w:shd w:val="clear"/>
        <w:spacing w:after="0"/>
        <w:ind w:right="-2"/>
        <w:rPr>
          <w:rFonts w:hint="eastAsia" w:ascii="宋体" w:hAnsi="宋体"/>
          <w:b/>
          <w:color w:val="auto"/>
          <w:highlight w:val="none"/>
        </w:rPr>
      </w:pPr>
    </w:p>
    <w:p w14:paraId="038CD160">
      <w:pPr>
        <w:shd w:val="clear"/>
        <w:spacing w:after="0"/>
        <w:ind w:right="-2"/>
        <w:rPr>
          <w:rFonts w:hint="eastAsia" w:ascii="宋体" w:hAnsi="宋体"/>
          <w:b/>
          <w:color w:val="auto"/>
          <w:highlight w:val="none"/>
        </w:rPr>
      </w:pPr>
    </w:p>
    <w:p w14:paraId="4025EBC8">
      <w:pPr>
        <w:shd w:val="clear"/>
        <w:spacing w:after="0"/>
        <w:ind w:right="-2"/>
        <w:rPr>
          <w:rFonts w:hint="eastAsia" w:ascii="宋体" w:hAnsi="宋体"/>
          <w:b/>
          <w:color w:val="auto"/>
          <w:highlight w:val="none"/>
        </w:rPr>
      </w:pPr>
    </w:p>
    <w:p w14:paraId="5924FA14">
      <w:pPr>
        <w:shd w:val="clear"/>
        <w:spacing w:after="0" w:line="360" w:lineRule="auto"/>
        <w:ind w:right="-2"/>
        <w:rPr>
          <w:rFonts w:hint="eastAsia" w:ascii="宋体" w:hAnsi="宋体"/>
          <w:b/>
          <w:color w:val="auto"/>
          <w:highlight w:val="none"/>
        </w:rPr>
      </w:pPr>
    </w:p>
    <w:p w14:paraId="4DDBE6CB">
      <w:pPr>
        <w:shd w:val="clear"/>
        <w:spacing w:after="0" w:line="360" w:lineRule="auto"/>
        <w:ind w:right="-2"/>
        <w:rPr>
          <w:rFonts w:hint="eastAsia" w:ascii="宋体" w:hAnsi="宋体"/>
          <w:b/>
          <w:color w:val="auto"/>
          <w:highlight w:val="none"/>
        </w:rPr>
      </w:pPr>
    </w:p>
    <w:p w14:paraId="61B42A4F">
      <w:pPr>
        <w:shd w:val="clear"/>
        <w:spacing w:after="0" w:line="360" w:lineRule="auto"/>
        <w:ind w:right="-2"/>
        <w:rPr>
          <w:rFonts w:hint="eastAsia" w:ascii="宋体" w:hAnsi="宋体"/>
          <w:b/>
          <w:color w:val="auto"/>
          <w:sz w:val="32"/>
          <w:szCs w:val="32"/>
          <w:highlight w:val="none"/>
        </w:rPr>
      </w:pPr>
      <w:r>
        <w:rPr>
          <w:rFonts w:hint="eastAsia" w:ascii="宋体" w:hAnsi="宋体"/>
          <w:b/>
          <w:color w:val="auto"/>
          <w:sz w:val="32"/>
          <w:szCs w:val="32"/>
          <w:highlight w:val="none"/>
        </w:rPr>
        <w:t>招  标  人：大连东港商务区开发建设管理集团有限公司</w:t>
      </w:r>
    </w:p>
    <w:p w14:paraId="31E30AE7">
      <w:pPr>
        <w:shd w:val="clear"/>
        <w:spacing w:after="0" w:line="360" w:lineRule="auto"/>
        <w:ind w:right="-2"/>
        <w:rPr>
          <w:rFonts w:hint="eastAsia" w:ascii="宋体" w:hAnsi="宋体"/>
          <w:b/>
          <w:color w:val="auto"/>
          <w:sz w:val="32"/>
          <w:szCs w:val="32"/>
          <w:highlight w:val="none"/>
        </w:rPr>
      </w:pPr>
      <w:r>
        <w:rPr>
          <w:rFonts w:hint="eastAsia" w:ascii="宋体" w:hAnsi="宋体"/>
          <w:b/>
          <w:color w:val="auto"/>
          <w:sz w:val="32"/>
          <w:szCs w:val="32"/>
          <w:highlight w:val="none"/>
        </w:rPr>
        <w:t>招标代理人：辽宁和泰项目管理有限公司</w:t>
      </w:r>
    </w:p>
    <w:p w14:paraId="677955B8">
      <w:pPr>
        <w:shd w:val="clear"/>
        <w:spacing w:after="0" w:line="360" w:lineRule="auto"/>
        <w:ind w:right="-2"/>
        <w:rPr>
          <w:rFonts w:hint="eastAsia" w:ascii="宋体" w:hAnsi="宋体"/>
          <w:b/>
          <w:color w:val="auto"/>
          <w:sz w:val="32"/>
          <w:szCs w:val="32"/>
          <w:highlight w:val="none"/>
        </w:rPr>
      </w:pPr>
      <w:r>
        <w:rPr>
          <w:rFonts w:hint="eastAsia" w:ascii="宋体" w:hAnsi="宋体"/>
          <w:b/>
          <w:color w:val="auto"/>
          <w:sz w:val="32"/>
          <w:szCs w:val="32"/>
          <w:highlight w:val="none"/>
        </w:rPr>
        <w:t>日      期：二0二五年</w:t>
      </w:r>
      <w:r>
        <w:rPr>
          <w:rFonts w:hint="eastAsia" w:ascii="宋体" w:hAnsi="宋体"/>
          <w:b/>
          <w:color w:val="auto"/>
          <w:sz w:val="32"/>
          <w:szCs w:val="32"/>
          <w:highlight w:val="none"/>
          <w:lang w:val="en-US" w:eastAsia="zh-CN"/>
        </w:rPr>
        <w:t>六</w:t>
      </w:r>
      <w:r>
        <w:rPr>
          <w:rFonts w:hint="eastAsia" w:ascii="宋体" w:hAnsi="宋体"/>
          <w:b/>
          <w:color w:val="auto"/>
          <w:sz w:val="32"/>
          <w:szCs w:val="32"/>
          <w:highlight w:val="none"/>
        </w:rPr>
        <w:t>月</w:t>
      </w:r>
      <w:r>
        <w:rPr>
          <w:rFonts w:ascii="宋体" w:hAnsi="宋体"/>
          <w:b/>
          <w:color w:val="auto"/>
          <w:sz w:val="32"/>
          <w:szCs w:val="32"/>
          <w:highlight w:val="none"/>
        </w:rPr>
        <w:br w:type="page"/>
      </w:r>
    </w:p>
    <w:p w14:paraId="5DF12781">
      <w:pPr>
        <w:shd w:val="clear"/>
        <w:spacing w:after="0" w:line="480" w:lineRule="auto"/>
        <w:ind w:right="-2"/>
        <w:jc w:val="center"/>
        <w:rPr>
          <w:rFonts w:hint="eastAsia" w:ascii="宋体" w:hAnsi="宋体"/>
          <w:color w:val="auto"/>
          <w:sz w:val="28"/>
          <w:szCs w:val="28"/>
          <w:highlight w:val="none"/>
        </w:rPr>
      </w:pPr>
      <w:r>
        <w:rPr>
          <w:rFonts w:hint="eastAsia" w:ascii="宋体" w:hAnsi="宋体"/>
          <w:b/>
          <w:bCs/>
          <w:color w:val="auto"/>
          <w:sz w:val="48"/>
          <w:szCs w:val="48"/>
          <w:highlight w:val="none"/>
        </w:rPr>
        <w:t>目  录</w:t>
      </w:r>
    </w:p>
    <w:p w14:paraId="610336A4">
      <w:pPr>
        <w:shd w:val="clear"/>
        <w:spacing w:after="0" w:line="384" w:lineRule="auto"/>
        <w:ind w:right="-2" w:firstLine="24" w:firstLineChars="10"/>
        <w:jc w:val="distribute"/>
        <w:rPr>
          <w:rFonts w:hint="eastAsia" w:ascii="宋体" w:hAnsi="宋体"/>
          <w:color w:val="auto"/>
          <w:sz w:val="24"/>
          <w:highlight w:val="none"/>
        </w:rPr>
      </w:pPr>
    </w:p>
    <w:p w14:paraId="396C95F9">
      <w:pPr>
        <w:shd w:val="clear"/>
        <w:spacing w:after="0" w:line="480" w:lineRule="auto"/>
        <w:ind w:right="-2" w:firstLine="28" w:firstLineChars="10"/>
        <w:jc w:val="distribute"/>
        <w:rPr>
          <w:rFonts w:hint="eastAsia" w:ascii="宋体" w:hAnsi="宋体"/>
          <w:color w:val="auto"/>
          <w:sz w:val="28"/>
          <w:szCs w:val="28"/>
          <w:highlight w:val="none"/>
        </w:rPr>
      </w:pPr>
      <w:r>
        <w:rPr>
          <w:rFonts w:hint="eastAsia" w:ascii="宋体" w:hAnsi="宋体"/>
          <w:color w:val="auto"/>
          <w:sz w:val="28"/>
          <w:szCs w:val="28"/>
          <w:highlight w:val="none"/>
        </w:rPr>
        <w:t>投标邀请函………………………………………………………………2</w:t>
      </w:r>
    </w:p>
    <w:p w14:paraId="6B9D886C">
      <w:pPr>
        <w:shd w:val="clear"/>
        <w:spacing w:after="0" w:line="480" w:lineRule="auto"/>
        <w:ind w:right="-2" w:firstLine="28" w:firstLineChars="10"/>
        <w:jc w:val="distribute"/>
        <w:rPr>
          <w:rFonts w:hint="eastAsia" w:ascii="宋体" w:hAnsi="宋体" w:eastAsia="宋体"/>
          <w:color w:val="auto"/>
          <w:sz w:val="28"/>
          <w:szCs w:val="28"/>
          <w:highlight w:val="none"/>
          <w:lang w:eastAsia="zh-CN"/>
        </w:rPr>
      </w:pPr>
      <w:r>
        <w:rPr>
          <w:rFonts w:hint="eastAsia" w:ascii="宋体" w:hAnsi="宋体"/>
          <w:color w:val="auto"/>
          <w:sz w:val="28"/>
          <w:szCs w:val="28"/>
          <w:highlight w:val="none"/>
        </w:rPr>
        <w:t>第一章 投标人须知及前附表……………………………………………</w:t>
      </w:r>
      <w:r>
        <w:rPr>
          <w:rFonts w:hint="eastAsia" w:ascii="宋体" w:hAnsi="宋体"/>
          <w:color w:val="auto"/>
          <w:sz w:val="28"/>
          <w:szCs w:val="28"/>
          <w:highlight w:val="none"/>
          <w:lang w:val="en-US" w:eastAsia="zh-CN"/>
        </w:rPr>
        <w:t>6</w:t>
      </w:r>
    </w:p>
    <w:p w14:paraId="205D07C5">
      <w:pPr>
        <w:shd w:val="clear"/>
        <w:spacing w:after="0" w:line="480" w:lineRule="auto"/>
        <w:ind w:right="-2" w:firstLine="28" w:firstLineChars="10"/>
        <w:jc w:val="distribute"/>
        <w:rPr>
          <w:rFonts w:hint="eastAsia" w:ascii="宋体" w:hAnsi="宋体" w:eastAsia="宋体"/>
          <w:color w:val="auto"/>
          <w:sz w:val="28"/>
          <w:szCs w:val="28"/>
          <w:highlight w:val="none"/>
          <w:lang w:eastAsia="zh-CN"/>
        </w:rPr>
      </w:pPr>
      <w:r>
        <w:rPr>
          <w:rFonts w:hint="eastAsia" w:ascii="宋体" w:hAnsi="宋体"/>
          <w:color w:val="auto"/>
          <w:sz w:val="28"/>
          <w:szCs w:val="28"/>
          <w:highlight w:val="none"/>
        </w:rPr>
        <w:t>第二章 合同条款及合同格式……………………………………………2</w:t>
      </w:r>
      <w:r>
        <w:rPr>
          <w:rFonts w:hint="eastAsia" w:ascii="宋体" w:hAnsi="宋体"/>
          <w:color w:val="auto"/>
          <w:sz w:val="28"/>
          <w:szCs w:val="28"/>
          <w:highlight w:val="none"/>
          <w:lang w:val="en-US" w:eastAsia="zh-CN"/>
        </w:rPr>
        <w:t>7</w:t>
      </w:r>
    </w:p>
    <w:p w14:paraId="04D12E76">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第三章 项目需求及服务要求……………………………………………</w:t>
      </w:r>
      <w:r>
        <w:rPr>
          <w:rFonts w:hint="eastAsia" w:ascii="宋体" w:hAnsi="宋体"/>
          <w:color w:val="auto"/>
          <w:sz w:val="28"/>
          <w:szCs w:val="28"/>
          <w:highlight w:val="none"/>
          <w:lang w:val="en-US" w:eastAsia="zh-CN"/>
        </w:rPr>
        <w:t>48</w:t>
      </w:r>
    </w:p>
    <w:p w14:paraId="7D3E60CE">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第四章 投标文件格式……………………………………………………</w:t>
      </w:r>
      <w:r>
        <w:rPr>
          <w:rFonts w:hint="eastAsia" w:ascii="宋体" w:hAnsi="宋体"/>
          <w:color w:val="auto"/>
          <w:sz w:val="28"/>
          <w:szCs w:val="28"/>
          <w:highlight w:val="none"/>
          <w:lang w:val="en-US" w:eastAsia="zh-CN"/>
        </w:rPr>
        <w:t>65</w:t>
      </w:r>
    </w:p>
    <w:p w14:paraId="48CCF788">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1</w:t>
      </w:r>
      <w:r>
        <w:rPr>
          <w:rFonts w:hint="eastAsia" w:ascii="宋体" w:hAnsi="宋体"/>
          <w:color w:val="auto"/>
          <w:sz w:val="28"/>
          <w:szCs w:val="28"/>
          <w:highlight w:val="none"/>
        </w:rPr>
        <w:t>资格性审查表………………………………………………………</w:t>
      </w:r>
      <w:r>
        <w:rPr>
          <w:rFonts w:hint="eastAsia" w:ascii="宋体" w:hAnsi="宋体"/>
          <w:color w:val="auto"/>
          <w:sz w:val="28"/>
          <w:szCs w:val="28"/>
          <w:highlight w:val="none"/>
          <w:lang w:val="en-US" w:eastAsia="zh-CN"/>
        </w:rPr>
        <w:t>84</w:t>
      </w:r>
    </w:p>
    <w:p w14:paraId="2A0793C4">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符合性审查表……………………………………………………</w:t>
      </w:r>
      <w:r>
        <w:rPr>
          <w:rFonts w:hint="eastAsia" w:ascii="宋体" w:hAnsi="宋体"/>
          <w:color w:val="auto"/>
          <w:sz w:val="28"/>
          <w:szCs w:val="28"/>
          <w:highlight w:val="none"/>
          <w:lang w:val="en-US" w:eastAsia="zh-CN"/>
        </w:rPr>
        <w:t>85</w:t>
      </w:r>
    </w:p>
    <w:p w14:paraId="7CEC7194">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3</w:t>
      </w:r>
      <w:r>
        <w:rPr>
          <w:rFonts w:hint="eastAsia" w:ascii="宋体" w:hAnsi="宋体"/>
          <w:color w:val="auto"/>
          <w:sz w:val="28"/>
          <w:szCs w:val="28"/>
          <w:highlight w:val="none"/>
        </w:rPr>
        <w:t>评标方法……………………………………………………</w:t>
      </w:r>
      <w:r>
        <w:rPr>
          <w:rFonts w:hint="eastAsia" w:ascii="宋体" w:hAnsi="宋体"/>
          <w:color w:val="auto"/>
          <w:sz w:val="28"/>
          <w:szCs w:val="28"/>
          <w:highlight w:val="none"/>
          <w:lang w:val="en-US" w:eastAsia="zh-CN"/>
        </w:rPr>
        <w:t>86</w:t>
      </w:r>
    </w:p>
    <w:p w14:paraId="124FD00C">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4</w:t>
      </w:r>
      <w:r>
        <w:rPr>
          <w:rFonts w:hint="eastAsia" w:ascii="宋体" w:hAnsi="宋体"/>
          <w:color w:val="auto"/>
          <w:sz w:val="28"/>
          <w:szCs w:val="28"/>
          <w:highlight w:val="none"/>
        </w:rPr>
        <w:t>保函及声明函格式…………………………………………………</w:t>
      </w:r>
      <w:r>
        <w:rPr>
          <w:rFonts w:hint="eastAsia" w:ascii="宋体" w:hAnsi="宋体"/>
          <w:color w:val="auto"/>
          <w:sz w:val="28"/>
          <w:szCs w:val="28"/>
          <w:highlight w:val="none"/>
          <w:lang w:val="en-US" w:eastAsia="zh-CN"/>
        </w:rPr>
        <w:t>90</w:t>
      </w:r>
    </w:p>
    <w:p w14:paraId="08CFA802">
      <w:pPr>
        <w:shd w:val="clear"/>
        <w:spacing w:after="0" w:line="480" w:lineRule="auto"/>
        <w:ind w:right="-2"/>
        <w:jc w:val="distribute"/>
        <w:rPr>
          <w:rFonts w:hint="eastAsia" w:ascii="宋体" w:hAnsi="宋体"/>
          <w:color w:val="auto"/>
          <w:sz w:val="28"/>
          <w:szCs w:val="28"/>
          <w:highlight w:val="none"/>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5递交备份投标（响应）文件授权函</w:t>
      </w:r>
      <w:r>
        <w:rPr>
          <w:rFonts w:hint="eastAsia" w:ascii="宋体" w:hAnsi="宋体"/>
          <w:color w:val="auto"/>
          <w:sz w:val="28"/>
          <w:szCs w:val="28"/>
          <w:highlight w:val="none"/>
        </w:rPr>
        <w:t>……………………………</w:t>
      </w:r>
      <w:r>
        <w:rPr>
          <w:rFonts w:hint="eastAsia" w:ascii="宋体" w:hAnsi="宋体"/>
          <w:color w:val="auto"/>
          <w:sz w:val="28"/>
          <w:szCs w:val="28"/>
          <w:highlight w:val="none"/>
          <w:lang w:val="en-US" w:eastAsia="zh-CN"/>
        </w:rPr>
        <w:t>91</w:t>
      </w:r>
      <w:r>
        <w:rPr>
          <w:rFonts w:ascii="宋体" w:hAnsi="宋体"/>
          <w:color w:val="auto"/>
          <w:sz w:val="28"/>
          <w:szCs w:val="28"/>
          <w:highlight w:val="none"/>
        </w:rPr>
        <w:br w:type="page"/>
      </w:r>
    </w:p>
    <w:p w14:paraId="0C475A41">
      <w:pPr>
        <w:shd w:val="clear"/>
        <w:spacing w:after="0" w:line="360" w:lineRule="auto"/>
        <w:jc w:val="center"/>
        <w:rPr>
          <w:rFonts w:hint="eastAsia" w:ascii="宋体" w:hAnsi="宋体"/>
          <w:color w:val="auto"/>
          <w:sz w:val="28"/>
          <w:szCs w:val="28"/>
          <w:highlight w:val="none"/>
        </w:rPr>
      </w:pPr>
      <w:r>
        <w:rPr>
          <w:rFonts w:hint="eastAsia" w:ascii="宋体" w:hAnsi="宋体"/>
          <w:b/>
          <w:color w:val="auto"/>
          <w:sz w:val="32"/>
          <w:szCs w:val="32"/>
          <w:highlight w:val="none"/>
        </w:rPr>
        <w:t>东港商务区2025年灯光音乐喷泉运行维护项目</w:t>
      </w:r>
    </w:p>
    <w:p w14:paraId="49F65ED2">
      <w:pPr>
        <w:shd w:val="clear"/>
        <w:spacing w:after="0" w:line="360" w:lineRule="auto"/>
        <w:ind w:right="-2"/>
        <w:jc w:val="center"/>
        <w:rPr>
          <w:rFonts w:hint="eastAsia" w:ascii="宋体" w:hAnsi="宋体"/>
          <w:b/>
          <w:color w:val="auto"/>
          <w:sz w:val="32"/>
          <w:szCs w:val="32"/>
          <w:highlight w:val="none"/>
        </w:rPr>
      </w:pPr>
      <w:r>
        <w:rPr>
          <w:rFonts w:hint="eastAsia" w:ascii="宋体" w:hAnsi="宋体"/>
          <w:b/>
          <w:color w:val="auto"/>
          <w:sz w:val="32"/>
          <w:szCs w:val="32"/>
          <w:highlight w:val="none"/>
        </w:rPr>
        <w:t>投标邀请函</w:t>
      </w:r>
    </w:p>
    <w:p w14:paraId="6AEDF57E">
      <w:pPr>
        <w:pBdr>
          <w:top w:val="single" w:color="auto" w:sz="4" w:space="1"/>
          <w:left w:val="single" w:color="auto" w:sz="4" w:space="4"/>
          <w:bottom w:val="single" w:color="auto" w:sz="4" w:space="1"/>
          <w:right w:val="single" w:color="auto" w:sz="4" w:space="4"/>
        </w:pBdr>
        <w:shd w:val="clear"/>
        <w:spacing w:after="0"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项目概况</w:t>
      </w:r>
    </w:p>
    <w:p w14:paraId="72B33D07">
      <w:pPr>
        <w:pBdr>
          <w:top w:val="single" w:color="auto" w:sz="4" w:space="1"/>
          <w:left w:val="single" w:color="auto" w:sz="4" w:space="4"/>
          <w:bottom w:val="single" w:color="auto" w:sz="4" w:space="1"/>
          <w:right w:val="single" w:color="auto" w:sz="4" w:space="4"/>
        </w:pBdr>
        <w:shd w:val="clear"/>
        <w:spacing w:after="0"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u w:val="single"/>
        </w:rPr>
        <w:t>东港商务区2025年灯光音乐喷泉运行维护项目</w:t>
      </w:r>
      <w:r>
        <w:rPr>
          <w:rFonts w:hint="eastAsia" w:asciiTheme="minorEastAsia" w:hAnsiTheme="minorEastAsia" w:eastAsiaTheme="minorEastAsia"/>
          <w:color w:val="auto"/>
          <w:sz w:val="24"/>
          <w:szCs w:val="24"/>
          <w:highlight w:val="none"/>
        </w:rPr>
        <w:t>招标项目的潜在投标人应在</w:t>
      </w:r>
      <w:r>
        <w:rPr>
          <w:rFonts w:hint="eastAsia" w:asciiTheme="minorEastAsia" w:hAnsiTheme="minorEastAsia" w:eastAsiaTheme="minorEastAsia"/>
          <w:color w:val="auto"/>
          <w:sz w:val="24"/>
          <w:szCs w:val="24"/>
          <w:highlight w:val="none"/>
          <w:u w:val="single"/>
        </w:rPr>
        <w:t>大连国企阳光采购服务平台线上</w:t>
      </w:r>
      <w:r>
        <w:rPr>
          <w:rFonts w:hint="eastAsia" w:asciiTheme="minorEastAsia" w:hAnsiTheme="minorEastAsia" w:eastAsiaTheme="minorEastAsia"/>
          <w:color w:val="auto"/>
          <w:sz w:val="24"/>
          <w:szCs w:val="24"/>
          <w:highlight w:val="none"/>
        </w:rPr>
        <w:t>获取招标文件，并于</w:t>
      </w:r>
      <w:r>
        <w:rPr>
          <w:rFonts w:hint="eastAsia" w:asciiTheme="minorEastAsia" w:hAnsiTheme="minorEastAsia" w:eastAsiaTheme="minorEastAsia"/>
          <w:color w:val="auto"/>
          <w:sz w:val="24"/>
          <w:szCs w:val="24"/>
          <w:highlight w:val="none"/>
          <w:u w:val="single"/>
        </w:rPr>
        <w:t>2025</w:t>
      </w:r>
      <w:r>
        <w:rPr>
          <w:rFonts w:hint="eastAsia" w:asciiTheme="minorEastAsia" w:hAnsiTheme="minorEastAsia" w:eastAsiaTheme="minorEastAsia"/>
          <w:bCs/>
          <w:color w:val="auto"/>
          <w:sz w:val="24"/>
          <w:szCs w:val="24"/>
          <w:highlight w:val="none"/>
          <w:u w:val="single"/>
        </w:rPr>
        <w:t>年</w:t>
      </w:r>
      <w:r>
        <w:rPr>
          <w:rFonts w:hint="eastAsia" w:asciiTheme="minorEastAsia" w:hAnsiTheme="minorEastAsia" w:eastAsiaTheme="minorEastAsia"/>
          <w:bCs/>
          <w:color w:val="auto"/>
          <w:sz w:val="24"/>
          <w:szCs w:val="24"/>
          <w:highlight w:val="none"/>
          <w:u w:val="single"/>
          <w:lang w:val="en-US" w:eastAsia="zh-CN"/>
        </w:rPr>
        <w:t>07</w:t>
      </w:r>
      <w:r>
        <w:rPr>
          <w:rFonts w:hint="eastAsia" w:asciiTheme="minorEastAsia" w:hAnsiTheme="minorEastAsia" w:eastAsiaTheme="minorEastAsia"/>
          <w:bCs/>
          <w:color w:val="auto"/>
          <w:sz w:val="24"/>
          <w:szCs w:val="24"/>
          <w:highlight w:val="none"/>
          <w:u w:val="single"/>
        </w:rPr>
        <w:t>月</w:t>
      </w:r>
      <w:r>
        <w:rPr>
          <w:rFonts w:hint="eastAsia" w:asciiTheme="minorEastAsia" w:hAnsiTheme="minorEastAsia" w:eastAsiaTheme="minorEastAsia"/>
          <w:bCs/>
          <w:color w:val="auto"/>
          <w:sz w:val="24"/>
          <w:szCs w:val="24"/>
          <w:highlight w:val="none"/>
          <w:u w:val="single"/>
          <w:lang w:val="en-US" w:eastAsia="zh-CN"/>
        </w:rPr>
        <w:t>10</w:t>
      </w:r>
      <w:r>
        <w:rPr>
          <w:rFonts w:hint="eastAsia" w:asciiTheme="minorEastAsia" w:hAnsiTheme="minorEastAsia" w:eastAsiaTheme="minorEastAsia"/>
          <w:bCs/>
          <w:color w:val="auto"/>
          <w:sz w:val="24"/>
          <w:szCs w:val="24"/>
          <w:highlight w:val="none"/>
          <w:u w:val="single"/>
        </w:rPr>
        <w:t>日</w:t>
      </w:r>
      <w:r>
        <w:rPr>
          <w:rFonts w:hint="eastAsia" w:asciiTheme="minorEastAsia" w:hAnsiTheme="minorEastAsia" w:eastAsiaTheme="minorEastAsia"/>
          <w:bCs/>
          <w:color w:val="auto"/>
          <w:sz w:val="24"/>
          <w:szCs w:val="24"/>
          <w:highlight w:val="none"/>
          <w:u w:val="single"/>
          <w:lang w:val="en-US" w:eastAsia="zh-CN"/>
        </w:rPr>
        <w:t>09</w:t>
      </w:r>
      <w:r>
        <w:rPr>
          <w:rFonts w:hint="eastAsia" w:asciiTheme="minorEastAsia" w:hAnsiTheme="minorEastAsia" w:eastAsiaTheme="minorEastAsia"/>
          <w:bCs/>
          <w:color w:val="auto"/>
          <w:sz w:val="24"/>
          <w:szCs w:val="24"/>
          <w:highlight w:val="none"/>
          <w:u w:val="single"/>
        </w:rPr>
        <w:t>点</w:t>
      </w:r>
      <w:r>
        <w:rPr>
          <w:rFonts w:hint="eastAsia" w:asciiTheme="minorEastAsia" w:hAnsiTheme="minorEastAsia" w:eastAsiaTheme="minorEastAsia"/>
          <w:bCs/>
          <w:color w:val="auto"/>
          <w:sz w:val="24"/>
          <w:szCs w:val="24"/>
          <w:highlight w:val="none"/>
          <w:u w:val="single"/>
          <w:lang w:val="en-US" w:eastAsia="zh-CN"/>
        </w:rPr>
        <w:t>00</w:t>
      </w:r>
      <w:r>
        <w:rPr>
          <w:rFonts w:hint="eastAsia" w:asciiTheme="minorEastAsia" w:hAnsiTheme="minorEastAsia" w:eastAsiaTheme="minorEastAsia"/>
          <w:bCs/>
          <w:color w:val="auto"/>
          <w:sz w:val="24"/>
          <w:szCs w:val="24"/>
          <w:highlight w:val="none"/>
          <w:u w:val="single"/>
        </w:rPr>
        <w:t>分</w:t>
      </w:r>
      <w:r>
        <w:rPr>
          <w:rFonts w:hint="eastAsia" w:asciiTheme="minorEastAsia" w:hAnsiTheme="minorEastAsia" w:eastAsiaTheme="minorEastAsia"/>
          <w:bCs/>
          <w:color w:val="auto"/>
          <w:sz w:val="24"/>
          <w:szCs w:val="24"/>
          <w:highlight w:val="none"/>
          <w:u w:val="none"/>
        </w:rPr>
        <w:t>（</w:t>
      </w:r>
      <w:r>
        <w:rPr>
          <w:rFonts w:hint="eastAsia" w:asciiTheme="minorEastAsia" w:hAnsiTheme="minorEastAsia" w:eastAsiaTheme="minorEastAsia"/>
          <w:bCs/>
          <w:color w:val="auto"/>
          <w:sz w:val="24"/>
          <w:szCs w:val="24"/>
          <w:highlight w:val="none"/>
        </w:rPr>
        <w:t>北京时间）前递交投标</w:t>
      </w:r>
      <w:r>
        <w:rPr>
          <w:rFonts w:asciiTheme="minorEastAsia" w:hAnsiTheme="minorEastAsia" w:eastAsiaTheme="minorEastAsia"/>
          <w:bCs/>
          <w:color w:val="auto"/>
          <w:sz w:val="24"/>
          <w:szCs w:val="24"/>
          <w:highlight w:val="none"/>
        </w:rPr>
        <w:t>文件</w:t>
      </w:r>
      <w:r>
        <w:rPr>
          <w:rFonts w:hint="eastAsia" w:asciiTheme="minorEastAsia" w:hAnsiTheme="minorEastAsia" w:eastAsiaTheme="minorEastAsia"/>
          <w:color w:val="auto"/>
          <w:sz w:val="24"/>
          <w:szCs w:val="24"/>
          <w:highlight w:val="none"/>
        </w:rPr>
        <w:t>。</w:t>
      </w:r>
    </w:p>
    <w:p w14:paraId="3F2A68DB">
      <w:pPr>
        <w:shd w:val="clear"/>
        <w:spacing w:after="0" w:line="360" w:lineRule="auto"/>
        <w:ind w:right="-2"/>
        <w:rPr>
          <w:rFonts w:hint="eastAsia" w:ascii="宋体" w:hAnsi="宋体"/>
          <w:b/>
          <w:bCs/>
          <w:color w:val="auto"/>
          <w:sz w:val="24"/>
          <w:szCs w:val="24"/>
          <w:highlight w:val="none"/>
        </w:rPr>
      </w:pPr>
      <w:r>
        <w:rPr>
          <w:rFonts w:hint="eastAsia" w:ascii="宋体" w:hAnsi="宋体"/>
          <w:b/>
          <w:bCs/>
          <w:color w:val="auto"/>
          <w:sz w:val="24"/>
          <w:szCs w:val="24"/>
          <w:highlight w:val="none"/>
        </w:rPr>
        <w:t>一、项目基本情况</w:t>
      </w:r>
    </w:p>
    <w:p w14:paraId="5A68C934">
      <w:pPr>
        <w:shd w:val="clear"/>
        <w:spacing w:after="0" w:line="360" w:lineRule="auto"/>
        <w:ind w:right="-2" w:firstLine="426"/>
        <w:rPr>
          <w:rFonts w:hint="eastAsia" w:ascii="宋体" w:hAnsi="宋体"/>
          <w:bCs/>
          <w:color w:val="auto"/>
          <w:sz w:val="24"/>
          <w:szCs w:val="24"/>
          <w:highlight w:val="none"/>
        </w:rPr>
      </w:pPr>
      <w:r>
        <w:rPr>
          <w:rFonts w:hint="eastAsia" w:ascii="宋体" w:hAnsi="宋体"/>
          <w:bCs/>
          <w:color w:val="auto"/>
          <w:sz w:val="24"/>
          <w:szCs w:val="24"/>
          <w:highlight w:val="none"/>
        </w:rPr>
        <w:t>项目编号：</w:t>
      </w:r>
      <w:r>
        <w:rPr>
          <w:rFonts w:ascii="宋体" w:hAnsi="宋体"/>
          <w:bCs/>
          <w:color w:val="auto"/>
          <w:sz w:val="24"/>
          <w:szCs w:val="24"/>
          <w:highlight w:val="none"/>
        </w:rPr>
        <w:t>HTZB20250423</w:t>
      </w:r>
    </w:p>
    <w:p w14:paraId="687915A1">
      <w:pPr>
        <w:shd w:val="clear"/>
        <w:spacing w:after="0" w:line="360" w:lineRule="auto"/>
        <w:ind w:right="-2" w:firstLine="426"/>
        <w:rPr>
          <w:rFonts w:hint="eastAsia" w:ascii="宋体" w:hAnsi="宋体"/>
          <w:bCs/>
          <w:color w:val="auto"/>
          <w:sz w:val="24"/>
          <w:szCs w:val="24"/>
          <w:highlight w:val="none"/>
        </w:rPr>
      </w:pPr>
      <w:r>
        <w:rPr>
          <w:rFonts w:hint="eastAsia" w:ascii="宋体" w:hAnsi="宋体"/>
          <w:bCs/>
          <w:color w:val="auto"/>
          <w:sz w:val="24"/>
          <w:szCs w:val="24"/>
          <w:highlight w:val="none"/>
        </w:rPr>
        <w:t>项目名称：东港商务区2025年灯光音乐喷泉运行维护项目</w:t>
      </w:r>
    </w:p>
    <w:p w14:paraId="43088732">
      <w:pPr>
        <w:shd w:val="clear"/>
        <w:spacing w:after="0" w:line="360" w:lineRule="auto"/>
        <w:ind w:right="-2" w:firstLine="426"/>
        <w:rPr>
          <w:rFonts w:hint="eastAsia" w:ascii="宋体" w:hAnsi="宋体" w:cs="宋体"/>
          <w:bCs/>
          <w:color w:val="auto"/>
          <w:sz w:val="24"/>
          <w:szCs w:val="24"/>
          <w:highlight w:val="none"/>
          <w:lang w:val="zh-CN"/>
        </w:rPr>
      </w:pPr>
      <w:r>
        <w:rPr>
          <w:rFonts w:hint="eastAsia" w:ascii="宋体" w:hAnsi="宋体"/>
          <w:bCs/>
          <w:color w:val="auto"/>
          <w:sz w:val="24"/>
          <w:szCs w:val="24"/>
          <w:highlight w:val="none"/>
        </w:rPr>
        <w:t>预算金额：48万元</w:t>
      </w:r>
    </w:p>
    <w:p w14:paraId="57FCF0F2">
      <w:pPr>
        <w:shd w:val="clear"/>
        <w:spacing w:after="0" w:line="360" w:lineRule="auto"/>
        <w:ind w:right="-2" w:firstLine="426"/>
        <w:rPr>
          <w:rFonts w:hint="eastAsia" w:ascii="宋体" w:hAnsi="宋体"/>
          <w:bCs/>
          <w:color w:val="auto"/>
          <w:sz w:val="24"/>
          <w:szCs w:val="24"/>
          <w:highlight w:val="none"/>
        </w:rPr>
      </w:pPr>
      <w:r>
        <w:rPr>
          <w:rFonts w:hint="eastAsia" w:ascii="宋体" w:hAnsi="宋体" w:cs="宋体"/>
          <w:color w:val="auto"/>
          <w:sz w:val="24"/>
          <w:highlight w:val="none"/>
          <w:lang w:val="en-US" w:eastAsia="zh-CN"/>
        </w:rPr>
        <w:t>最高限价：</w:t>
      </w:r>
      <w:r>
        <w:rPr>
          <w:rFonts w:hint="eastAsia" w:ascii="宋体" w:hAnsi="宋体" w:eastAsia="宋体"/>
          <w:color w:val="auto"/>
          <w:sz w:val="24"/>
          <w:highlight w:val="none"/>
          <w:lang w:eastAsia="zh-CN"/>
        </w:rPr>
        <w:t>运行巡检部分：</w:t>
      </w:r>
      <w:r>
        <w:rPr>
          <w:rFonts w:hint="eastAsia" w:ascii="宋体" w:hAnsi="宋体" w:eastAsia="宋体"/>
          <w:color w:val="auto"/>
          <w:sz w:val="24"/>
          <w:highlight w:val="none"/>
          <w:lang w:val="en-US" w:eastAsia="zh-CN"/>
        </w:rPr>
        <w:t>40万元（投标报价超出</w:t>
      </w:r>
      <w:r>
        <w:rPr>
          <w:rFonts w:hint="eastAsia" w:ascii="宋体" w:hAnsi="宋体"/>
          <w:color w:val="auto"/>
          <w:sz w:val="24"/>
          <w:highlight w:val="none"/>
          <w:lang w:val="en-US" w:eastAsia="zh-CN"/>
        </w:rPr>
        <w:t>最高限价</w:t>
      </w:r>
      <w:r>
        <w:rPr>
          <w:rFonts w:hint="eastAsia" w:ascii="宋体" w:hAnsi="宋体" w:eastAsia="宋体"/>
          <w:color w:val="auto"/>
          <w:sz w:val="24"/>
          <w:highlight w:val="none"/>
          <w:lang w:val="en-US" w:eastAsia="zh-CN"/>
        </w:rPr>
        <w:t>的，按无效投标处理）；</w:t>
      </w:r>
      <w:r>
        <w:rPr>
          <w:rFonts w:hint="eastAsia" w:ascii="宋体" w:hAnsi="宋体" w:eastAsia="宋体"/>
          <w:color w:val="auto"/>
          <w:sz w:val="24"/>
          <w:highlight w:val="none"/>
        </w:rPr>
        <w:t>设备维修更换部分</w:t>
      </w:r>
      <w:r>
        <w:rPr>
          <w:rFonts w:hint="eastAsia" w:ascii="宋体" w:hAnsi="宋体"/>
          <w:color w:val="auto"/>
          <w:sz w:val="24"/>
          <w:highlight w:val="none"/>
          <w:lang w:val="en-US" w:eastAsia="zh-CN"/>
        </w:rPr>
        <w:t>详见招标文件第三章“单项最高限价”</w:t>
      </w:r>
      <w:r>
        <w:rPr>
          <w:rFonts w:hint="eastAsia" w:ascii="宋体" w:hAnsi="宋体" w:eastAsia="宋体"/>
          <w:color w:val="auto"/>
          <w:sz w:val="24"/>
          <w:highlight w:val="none"/>
          <w:lang w:val="en-US" w:eastAsia="zh-CN"/>
        </w:rPr>
        <w:t>（投标</w:t>
      </w:r>
      <w:r>
        <w:rPr>
          <w:rFonts w:hint="eastAsia" w:ascii="宋体" w:hAnsi="宋体"/>
          <w:color w:val="auto"/>
          <w:sz w:val="24"/>
          <w:highlight w:val="none"/>
          <w:lang w:val="en-US" w:eastAsia="zh-CN"/>
        </w:rPr>
        <w:t>单项</w:t>
      </w:r>
      <w:r>
        <w:rPr>
          <w:rFonts w:hint="eastAsia" w:ascii="宋体" w:hAnsi="宋体" w:eastAsia="宋体"/>
          <w:color w:val="auto"/>
          <w:sz w:val="24"/>
          <w:highlight w:val="none"/>
          <w:lang w:val="en-US" w:eastAsia="zh-CN"/>
        </w:rPr>
        <w:t>单价高于单项最高限价的，按无效投标处理）</w:t>
      </w:r>
    </w:p>
    <w:p w14:paraId="00E642C3">
      <w:pPr>
        <w:shd w:val="clear"/>
        <w:spacing w:after="0" w:line="360" w:lineRule="auto"/>
        <w:ind w:right="-2" w:firstLine="426"/>
        <w:rPr>
          <w:rFonts w:hint="eastAsia" w:ascii="宋体" w:hAnsi="宋体"/>
          <w:bCs/>
          <w:color w:val="auto"/>
          <w:sz w:val="24"/>
          <w:szCs w:val="24"/>
          <w:highlight w:val="none"/>
        </w:rPr>
      </w:pPr>
      <w:r>
        <w:rPr>
          <w:rFonts w:hint="eastAsia" w:ascii="宋体" w:hAnsi="宋体"/>
          <w:bCs/>
          <w:color w:val="auto"/>
          <w:sz w:val="24"/>
          <w:szCs w:val="24"/>
          <w:highlight w:val="none"/>
        </w:rPr>
        <w:t>采购需求：对灯光音乐喷泉日常的喷放运行、喷泉设备设施巡检保养，及设备维修更换等</w:t>
      </w:r>
      <w:r>
        <w:rPr>
          <w:rFonts w:hint="eastAsia" w:ascii="宋体" w:hAnsi="宋体"/>
          <w:bCs/>
          <w:color w:val="auto"/>
          <w:sz w:val="24"/>
          <w:szCs w:val="24"/>
          <w:highlight w:val="none"/>
          <w:lang w:eastAsia="zh-CN"/>
        </w:rPr>
        <w:t>。</w:t>
      </w:r>
      <w:r>
        <w:rPr>
          <w:rFonts w:hint="eastAsia" w:ascii="宋体" w:hAnsi="宋体"/>
          <w:bCs/>
          <w:color w:val="auto"/>
          <w:sz w:val="24"/>
          <w:szCs w:val="24"/>
          <w:highlight w:val="none"/>
        </w:rPr>
        <w:t>（具体</w:t>
      </w:r>
      <w:r>
        <w:rPr>
          <w:rFonts w:hint="eastAsia" w:ascii="宋体" w:hAnsi="宋体"/>
          <w:bCs/>
          <w:color w:val="auto"/>
          <w:sz w:val="24"/>
          <w:szCs w:val="24"/>
          <w:highlight w:val="none"/>
          <w:lang w:val="en-US" w:eastAsia="zh-CN"/>
        </w:rPr>
        <w:t>内容</w:t>
      </w:r>
      <w:r>
        <w:rPr>
          <w:rFonts w:hint="eastAsia" w:ascii="宋体" w:hAnsi="宋体"/>
          <w:bCs/>
          <w:color w:val="auto"/>
          <w:sz w:val="24"/>
          <w:szCs w:val="24"/>
          <w:highlight w:val="none"/>
        </w:rPr>
        <w:t>详见招标文件</w:t>
      </w:r>
      <w:r>
        <w:rPr>
          <w:rFonts w:hint="eastAsia" w:ascii="宋体" w:hAnsi="宋体"/>
          <w:bCs/>
          <w:color w:val="auto"/>
          <w:sz w:val="24"/>
          <w:szCs w:val="24"/>
          <w:highlight w:val="none"/>
          <w:lang w:val="en-US" w:eastAsia="zh-CN"/>
        </w:rPr>
        <w:t>第三章</w:t>
      </w:r>
      <w:r>
        <w:rPr>
          <w:rFonts w:hint="eastAsia" w:ascii="宋体" w:hAnsi="宋体"/>
          <w:bCs/>
          <w:color w:val="auto"/>
          <w:sz w:val="24"/>
          <w:szCs w:val="24"/>
          <w:highlight w:val="none"/>
        </w:rPr>
        <w:t>）</w:t>
      </w:r>
    </w:p>
    <w:p w14:paraId="5F1161DB">
      <w:pPr>
        <w:shd w:val="clear"/>
        <w:spacing w:after="0" w:line="360" w:lineRule="auto"/>
        <w:ind w:right="-2" w:firstLine="426"/>
        <w:rPr>
          <w:rFonts w:hint="eastAsia" w:ascii="宋体" w:hAnsi="宋体"/>
          <w:bCs/>
          <w:color w:val="auto"/>
          <w:sz w:val="24"/>
          <w:szCs w:val="24"/>
          <w:highlight w:val="none"/>
          <w:lang w:eastAsia="zh-CN"/>
        </w:rPr>
      </w:pPr>
      <w:r>
        <w:rPr>
          <w:rFonts w:hint="eastAsia" w:ascii="宋体" w:hAnsi="宋体"/>
          <w:bCs/>
          <w:color w:val="auto"/>
          <w:sz w:val="24"/>
          <w:szCs w:val="24"/>
          <w:highlight w:val="none"/>
        </w:rPr>
        <w:t>合同履行期限：自合同签订之日起一年</w:t>
      </w:r>
      <w:r>
        <w:rPr>
          <w:rFonts w:hint="eastAsia" w:ascii="宋体" w:hAnsi="宋体"/>
          <w:bCs/>
          <w:color w:val="auto"/>
          <w:sz w:val="24"/>
          <w:szCs w:val="24"/>
          <w:highlight w:val="none"/>
          <w:lang w:eastAsia="zh-CN"/>
        </w:rPr>
        <w:t>。</w:t>
      </w:r>
    </w:p>
    <w:p w14:paraId="12C6E0FD">
      <w:pPr>
        <w:shd w:val="clear"/>
        <w:spacing w:after="0" w:line="360" w:lineRule="auto"/>
        <w:ind w:right="-2" w:firstLine="426"/>
        <w:rPr>
          <w:rFonts w:hint="eastAsia" w:ascii="宋体" w:hAnsi="宋体"/>
          <w:bCs/>
          <w:color w:val="auto"/>
          <w:sz w:val="24"/>
          <w:szCs w:val="24"/>
          <w:highlight w:val="none"/>
          <w:lang w:eastAsia="zh-CN"/>
        </w:rPr>
      </w:pPr>
      <w:r>
        <w:rPr>
          <w:rFonts w:hint="eastAsia" w:ascii="宋体" w:hAnsi="宋体"/>
          <w:bCs/>
          <w:color w:val="auto"/>
          <w:sz w:val="24"/>
          <w:szCs w:val="24"/>
          <w:highlight w:val="none"/>
          <w:lang w:eastAsia="zh-CN"/>
        </w:rPr>
        <w:t>注：在招标人落实下一年度预算的前提下，国家、省、市现行政策法规不变的条件下，且本项目服务要求不变、价格不变，经招标人与中标人双方协商同意，可依据本次招标结果所签订的合同续签合同，合同应当一年一签，最多可续签两年。</w:t>
      </w:r>
    </w:p>
    <w:p w14:paraId="3EC6C5C1">
      <w:pPr>
        <w:shd w:val="clear"/>
        <w:spacing w:after="0" w:line="360" w:lineRule="auto"/>
        <w:ind w:right="-2" w:firstLine="426"/>
        <w:rPr>
          <w:rFonts w:hint="eastAsia" w:ascii="宋体" w:hAnsi="宋体"/>
          <w:bCs/>
          <w:color w:val="auto"/>
          <w:sz w:val="24"/>
          <w:szCs w:val="24"/>
          <w:highlight w:val="none"/>
        </w:rPr>
      </w:pPr>
      <w:r>
        <w:rPr>
          <w:rFonts w:hint="eastAsia" w:ascii="宋体" w:hAnsi="宋体"/>
          <w:bCs/>
          <w:color w:val="auto"/>
          <w:sz w:val="24"/>
          <w:szCs w:val="24"/>
          <w:highlight w:val="none"/>
        </w:rPr>
        <w:t>本项目（否）接受联合体投标。</w:t>
      </w:r>
    </w:p>
    <w:p w14:paraId="461BEE6F">
      <w:pPr>
        <w:shd w:val="clear"/>
        <w:spacing w:after="0" w:line="360" w:lineRule="auto"/>
        <w:ind w:right="-2"/>
        <w:rPr>
          <w:rFonts w:hint="eastAsia" w:ascii="宋体" w:hAnsi="宋体"/>
          <w:b/>
          <w:bCs/>
          <w:color w:val="auto"/>
          <w:sz w:val="24"/>
          <w:szCs w:val="24"/>
          <w:highlight w:val="none"/>
        </w:rPr>
      </w:pPr>
      <w:r>
        <w:rPr>
          <w:rFonts w:hint="eastAsia" w:ascii="宋体" w:hAnsi="宋体"/>
          <w:b/>
          <w:bCs/>
          <w:color w:val="auto"/>
          <w:sz w:val="24"/>
          <w:szCs w:val="24"/>
          <w:highlight w:val="none"/>
        </w:rPr>
        <w:t>二、申请人的资格要求：</w:t>
      </w:r>
    </w:p>
    <w:p w14:paraId="1BC3BFD7">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bCs/>
          <w:color w:val="auto"/>
          <w:sz w:val="24"/>
          <w:szCs w:val="24"/>
          <w:highlight w:val="none"/>
        </w:rPr>
      </w:pPr>
      <w:r>
        <w:rPr>
          <w:rFonts w:hint="eastAsia" w:ascii="宋体" w:hAnsi="宋体"/>
          <w:bCs/>
          <w:color w:val="auto"/>
          <w:sz w:val="24"/>
          <w:szCs w:val="24"/>
          <w:highlight w:val="none"/>
        </w:rPr>
        <w:t>1.满足《中华人民共和国政府采购法》第二十二条规定；</w:t>
      </w:r>
    </w:p>
    <w:p w14:paraId="0B217A67">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2.落实政府采购政策需满足的资格要求：无</w:t>
      </w:r>
    </w:p>
    <w:p w14:paraId="0AF54FCE">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3.本项目的特定资格要求：</w:t>
      </w:r>
    </w:p>
    <w:p w14:paraId="45524175">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投标人须具有建设主管部门颁发的机电工程施工总承包三级及以上资质或建筑机电安装工程专业承包三级及以上资质，具有有效的安全生产许可证，无在处罚期内的不良记录</w:t>
      </w:r>
      <w:r>
        <w:rPr>
          <w:rFonts w:hint="eastAsia" w:ascii="宋体" w:hAnsi="宋体" w:eastAsia="宋体" w:cs="宋体"/>
          <w:bCs/>
          <w:color w:val="auto"/>
          <w:sz w:val="24"/>
          <w:szCs w:val="24"/>
          <w:highlight w:val="none"/>
        </w:rPr>
        <w:t>。</w:t>
      </w:r>
    </w:p>
    <w:p w14:paraId="5FE0D385">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项目经理须具有机电工程专业注册建造师二级及以上资格，</w:t>
      </w:r>
      <w:r>
        <w:rPr>
          <w:rFonts w:hint="eastAsia" w:ascii="宋体" w:hAnsi="宋体" w:eastAsia="宋体" w:cs="宋体"/>
          <w:color w:val="auto"/>
          <w:sz w:val="24"/>
          <w:szCs w:val="24"/>
          <w:highlight w:val="none"/>
        </w:rPr>
        <w:t>具有有效的安全生产考核合格证书</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无在处罚期内的不良记录。</w:t>
      </w:r>
    </w:p>
    <w:p w14:paraId="1CCE2FE9">
      <w:pPr>
        <w:keepNext w:val="0"/>
        <w:keepLines w:val="0"/>
        <w:pageBreakBefore w:val="0"/>
        <w:widowControl/>
        <w:shd w:val="clear"/>
        <w:kinsoku/>
        <w:overflowPunct/>
        <w:topLinePunct w:val="0"/>
        <w:autoSpaceDE/>
        <w:autoSpaceDN/>
        <w:bidi w:val="0"/>
        <w:adjustRightInd w:val="0"/>
        <w:snapToGrid w:val="0"/>
        <w:spacing w:after="0" w:line="360" w:lineRule="auto"/>
        <w:ind w:right="-2"/>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三、获取招标文件</w:t>
      </w:r>
    </w:p>
    <w:p w14:paraId="041DAC46">
      <w:pPr>
        <w:keepNext w:val="0"/>
        <w:keepLines w:val="0"/>
        <w:pageBreakBefore w:val="0"/>
        <w:widowControl/>
        <w:shd w:val="clear"/>
        <w:kinsoku/>
        <w:wordWrap/>
        <w:overflowPunct/>
        <w:topLinePunct w:val="0"/>
        <w:autoSpaceDE/>
        <w:autoSpaceDN/>
        <w:bidi w:val="0"/>
        <w:adjustRightInd w:val="0"/>
        <w:snapToGrid w:val="0"/>
        <w:spacing w:after="0"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时间：2025年</w:t>
      </w:r>
      <w:r>
        <w:rPr>
          <w:rFonts w:hint="eastAsia" w:ascii="宋体" w:hAnsi="宋体" w:cs="宋体"/>
          <w:color w:val="auto"/>
          <w:sz w:val="24"/>
          <w:szCs w:val="24"/>
          <w:highlight w:val="none"/>
          <w:lang w:val="en-US" w:eastAsia="zh-CN" w:bidi="ar-SA"/>
        </w:rPr>
        <w:t>06</w:t>
      </w:r>
      <w:r>
        <w:rPr>
          <w:rFonts w:hint="eastAsia" w:ascii="宋体" w:hAnsi="宋体" w:eastAsia="宋体" w:cs="宋体"/>
          <w:color w:val="auto"/>
          <w:sz w:val="24"/>
          <w:szCs w:val="24"/>
          <w:highlight w:val="none"/>
          <w:lang w:val="en-US" w:eastAsia="zh-CN" w:bidi="ar-SA"/>
        </w:rPr>
        <w:t>月</w:t>
      </w:r>
      <w:r>
        <w:rPr>
          <w:rFonts w:hint="eastAsia" w:ascii="宋体" w:hAnsi="宋体" w:cs="宋体"/>
          <w:color w:val="auto"/>
          <w:sz w:val="24"/>
          <w:szCs w:val="24"/>
          <w:highlight w:val="none"/>
          <w:lang w:val="en-US" w:eastAsia="zh-CN" w:bidi="ar-SA"/>
        </w:rPr>
        <w:t>19</w:t>
      </w:r>
      <w:r>
        <w:rPr>
          <w:rFonts w:hint="eastAsia" w:ascii="宋体" w:hAnsi="宋体" w:eastAsia="宋体" w:cs="宋体"/>
          <w:color w:val="auto"/>
          <w:sz w:val="24"/>
          <w:szCs w:val="24"/>
          <w:highlight w:val="none"/>
          <w:lang w:val="en-US" w:eastAsia="zh-CN" w:bidi="ar-SA"/>
        </w:rPr>
        <w:t>日至2025年</w:t>
      </w:r>
      <w:r>
        <w:rPr>
          <w:rFonts w:hint="eastAsia" w:ascii="宋体" w:hAnsi="宋体" w:cs="宋体"/>
          <w:color w:val="auto"/>
          <w:sz w:val="24"/>
          <w:szCs w:val="24"/>
          <w:highlight w:val="none"/>
          <w:lang w:val="en-US" w:eastAsia="zh-CN" w:bidi="ar-SA"/>
        </w:rPr>
        <w:t>06</w:t>
      </w:r>
      <w:r>
        <w:rPr>
          <w:rFonts w:hint="eastAsia" w:ascii="宋体" w:hAnsi="宋体" w:eastAsia="宋体" w:cs="宋体"/>
          <w:color w:val="auto"/>
          <w:sz w:val="24"/>
          <w:szCs w:val="24"/>
          <w:highlight w:val="none"/>
          <w:lang w:val="en-US" w:eastAsia="zh-CN" w:bidi="ar-SA"/>
        </w:rPr>
        <w:t>月</w:t>
      </w:r>
      <w:r>
        <w:rPr>
          <w:rFonts w:hint="eastAsia" w:ascii="宋体" w:hAnsi="宋体" w:cs="宋体"/>
          <w:color w:val="auto"/>
          <w:sz w:val="24"/>
          <w:szCs w:val="24"/>
          <w:highlight w:val="none"/>
          <w:lang w:val="en-US" w:eastAsia="zh-CN" w:bidi="ar-SA"/>
        </w:rPr>
        <w:t>26</w:t>
      </w:r>
      <w:r>
        <w:rPr>
          <w:rFonts w:hint="eastAsia" w:ascii="宋体" w:hAnsi="宋体" w:eastAsia="宋体" w:cs="宋体"/>
          <w:color w:val="auto"/>
          <w:sz w:val="24"/>
          <w:szCs w:val="24"/>
          <w:highlight w:val="none"/>
          <w:lang w:val="en-US" w:eastAsia="zh-CN" w:bidi="ar-SA"/>
        </w:rPr>
        <w:t>日，每天上午00:00至12:00，下午12:00至23:59（北京时间，法定节假日除外）。</w:t>
      </w:r>
    </w:p>
    <w:p w14:paraId="5E6ABBA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地点：大连阳光国企采购服务平台。</w:t>
      </w:r>
    </w:p>
    <w:p w14:paraId="5E17B1A7">
      <w:pPr>
        <w:pStyle w:val="14"/>
        <w:keepNext w:val="0"/>
        <w:keepLines w:val="0"/>
        <w:pageBreakBefore w:val="0"/>
        <w:widowControl/>
        <w:shd w:val="clear"/>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Style w:val="24"/>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bidi="ar-SA"/>
        </w:rPr>
        <w:t>方式：大连国企阳光采购服务平台（http://www.dlygcg.com/）线上获取；投标单位应在公告中的获取采购文件截止时间前下载文件。投标单位登录大连国企阳光采购服务平在线申请获取采购文件（进入“项目采</w:t>
      </w:r>
      <w:r>
        <w:rPr>
          <w:rStyle w:val="24"/>
          <w:rFonts w:hint="eastAsia" w:ascii="宋体" w:hAnsi="宋体" w:eastAsia="宋体" w:cs="宋体"/>
          <w:color w:val="auto"/>
          <w:highlight w:val="none"/>
        </w:rPr>
        <w:t>购”应用，在获取采购文件菜单中选择项目，申请获取采购文件）及更正文件(如有)。投标单位须采用最新版更正（澄清）文件(如有)用于制作投标文件，否则产生的无法解密问题，视为投标人未递交投标文件。</w:t>
      </w:r>
    </w:p>
    <w:p w14:paraId="55B7C32D">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Style w:val="24"/>
          <w:rFonts w:hint="eastAsia" w:ascii="宋体" w:hAnsi="宋体" w:eastAsia="宋体" w:cs="宋体"/>
          <w:color w:val="auto"/>
          <w:highlight w:val="none"/>
        </w:rPr>
        <w:t>投标人须在获取采购文件截止时间前录入投标人信息（详情页面的“投标单位信息”中选择“意向标项”并填写提交），未按规定录入的，将无法在线上传投标文件。（具体操作详见投标单位操作手册）。</w:t>
      </w:r>
    </w:p>
    <w:p w14:paraId="4059DD96">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Style w:val="24"/>
          <w:rFonts w:hint="eastAsia" w:ascii="宋体" w:hAnsi="宋体" w:eastAsia="宋体" w:cs="宋体"/>
          <w:color w:val="auto"/>
          <w:highlight w:val="none"/>
        </w:rPr>
        <w:t>投标人在大连市政府采购网已办理的汇信、天谷及辽宁CA均可通用，无需重复办理。未办理过上述CA的投标人，须申请CA。</w:t>
      </w:r>
    </w:p>
    <w:p w14:paraId="6CC7E69A">
      <w:pPr>
        <w:pStyle w:val="14"/>
        <w:shd w:val="clear"/>
        <w:spacing w:before="0" w:beforeAutospacing="0" w:after="0" w:afterAutospacing="0" w:line="360" w:lineRule="auto"/>
        <w:ind w:firstLine="480" w:firstLineChars="200"/>
        <w:rPr>
          <w:rFonts w:asciiTheme="majorEastAsia" w:hAnsiTheme="majorEastAsia" w:eastAsiaTheme="majorEastAsia"/>
          <w:color w:val="auto"/>
          <w:highlight w:val="none"/>
        </w:rPr>
      </w:pPr>
      <w:r>
        <w:rPr>
          <w:rFonts w:hint="eastAsia" w:ascii="宋体" w:hAnsi="宋体" w:eastAsia="宋体" w:cs="宋体"/>
          <w:color w:val="auto"/>
          <w:highlight w:val="none"/>
        </w:rPr>
        <w:t>平台服务费：</w:t>
      </w:r>
      <w:r>
        <w:rPr>
          <w:rFonts w:hint="eastAsia" w:asciiTheme="majorEastAsia" w:hAnsiTheme="majorEastAsia" w:eastAsiaTheme="majorEastAsia"/>
          <w:color w:val="auto"/>
          <w:highlight w:val="none"/>
        </w:rPr>
        <w:t>人民币300元</w:t>
      </w:r>
      <w:r>
        <w:rPr>
          <w:rFonts w:hint="eastAsia"/>
          <w:color w:val="auto"/>
          <w:highlight w:val="none"/>
        </w:rPr>
        <w:t>（说明：每家投标人在下载采购文件前，须网银公对公缴纳平台服务费，该费用一经支付平台即开始履行服务，与是否下载采购文件无关、与是否实际参与本项目无关，平台服务费支付后不予退还，同一投标人参加同一标项项目仅需支付一次平台服务费，如有特殊情况无法用对公账户进行支付时，请及时与平台联系0411-65851265）</w:t>
      </w:r>
      <w:r>
        <w:rPr>
          <w:rFonts w:hint="eastAsia" w:asciiTheme="majorEastAsia" w:hAnsiTheme="majorEastAsia" w:eastAsiaTheme="majorEastAsia"/>
          <w:color w:val="auto"/>
          <w:highlight w:val="none"/>
        </w:rPr>
        <w:t>，付款信息如下：</w:t>
      </w:r>
    </w:p>
    <w:p w14:paraId="20B4C224">
      <w:pPr>
        <w:pStyle w:val="14"/>
        <w:shd w:val="clear"/>
        <w:spacing w:before="0" w:beforeAutospacing="0" w:after="0" w:afterAutospacing="0" w:line="360" w:lineRule="auto"/>
        <w:ind w:firstLine="638" w:firstLineChars="266"/>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户名：大连阳光采购服务有限公司</w:t>
      </w:r>
    </w:p>
    <w:p w14:paraId="61391D01">
      <w:pPr>
        <w:pStyle w:val="14"/>
        <w:shd w:val="clear"/>
        <w:spacing w:before="0" w:beforeAutospacing="0" w:after="0" w:afterAutospacing="0" w:line="360" w:lineRule="auto"/>
        <w:ind w:firstLine="638" w:firstLineChars="266"/>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账号：810024000001105</w:t>
      </w:r>
    </w:p>
    <w:p w14:paraId="25362099">
      <w:pPr>
        <w:pStyle w:val="14"/>
        <w:shd w:val="clear"/>
        <w:spacing w:before="0" w:beforeAutospacing="0" w:after="0" w:afterAutospacing="0" w:line="360" w:lineRule="auto"/>
        <w:ind w:firstLine="638" w:firstLineChars="266"/>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开户银行：大连银行股份有限公司营业部</w:t>
      </w:r>
    </w:p>
    <w:p w14:paraId="76300F11">
      <w:pPr>
        <w:pStyle w:val="14"/>
        <w:shd w:val="clear"/>
        <w:spacing w:before="0" w:beforeAutospacing="0" w:after="0" w:afterAutospacing="0" w:line="360" w:lineRule="auto"/>
        <w:ind w:firstLine="638" w:firstLineChars="266"/>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开户行行号：313222081005</w:t>
      </w:r>
    </w:p>
    <w:p w14:paraId="40AE2A73">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lang w:eastAsia="zh-CN"/>
        </w:rPr>
      </w:pPr>
      <w:r>
        <w:rPr>
          <w:rFonts w:hint="eastAsia" w:cs="宋体" w:asciiTheme="majorEastAsia" w:hAnsiTheme="majorEastAsia" w:eastAsiaTheme="majorEastAsia"/>
          <w:color w:val="auto"/>
          <w:sz w:val="24"/>
          <w:highlight w:val="none"/>
        </w:rPr>
        <w:t>备注：须在下载文件前对公付款并明确备注项目编号</w:t>
      </w:r>
    </w:p>
    <w:p w14:paraId="407FF303">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付款信息如下：</w:t>
      </w:r>
    </w:p>
    <w:p w14:paraId="35A0C1B3">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户名：大连阳光采购服务有限公司</w:t>
      </w:r>
    </w:p>
    <w:p w14:paraId="51D3A2E2">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账号：810024000001105</w:t>
      </w:r>
    </w:p>
    <w:p w14:paraId="0F918501">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开户银行：大连银行营业部</w:t>
      </w:r>
    </w:p>
    <w:p w14:paraId="3C1E3225">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开户行行号：313222081005</w:t>
      </w:r>
    </w:p>
    <w:p w14:paraId="413DE799">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备注：须在下载文件前公对公付款并明确备注项目编号。</w:t>
      </w:r>
    </w:p>
    <w:p w14:paraId="686E6DA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四、</w:t>
      </w:r>
      <w:r>
        <w:rPr>
          <w:rStyle w:val="20"/>
          <w:rFonts w:hint="eastAsia" w:ascii="宋体" w:hAnsi="宋体" w:eastAsia="宋体" w:cs="宋体"/>
          <w:color w:val="auto"/>
          <w:sz w:val="24"/>
          <w:highlight w:val="none"/>
        </w:rPr>
        <w:t>提交投标文件截止时间、开标时间和地点</w:t>
      </w:r>
    </w:p>
    <w:p w14:paraId="6F2ADFD3">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bookmarkStart w:id="0" w:name="_Toc35393803"/>
      <w:bookmarkStart w:id="1" w:name="_Toc35393634"/>
      <w:bookmarkStart w:id="2" w:name="_Toc28359094"/>
      <w:bookmarkStart w:id="3" w:name="_Toc28359017"/>
      <w:r>
        <w:rPr>
          <w:rFonts w:hint="eastAsia" w:ascii="宋体" w:hAnsi="宋体" w:eastAsia="宋体" w:cs="宋体"/>
          <w:color w:val="auto"/>
          <w:highlight w:val="none"/>
        </w:rPr>
        <w:t>提交投标文件截止时间及开标时间：</w:t>
      </w:r>
      <w:bookmarkStart w:id="22" w:name="_GoBack"/>
      <w:r>
        <w:rPr>
          <w:rFonts w:hint="eastAsia" w:ascii="宋体" w:hAnsi="宋体" w:eastAsia="宋体" w:cs="宋体"/>
          <w:color w:val="auto"/>
          <w:highlight w:val="none"/>
        </w:rPr>
        <w:t>2025</w:t>
      </w:r>
      <w:bookmarkEnd w:id="22"/>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07</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日09:00（北京</w:t>
      </w:r>
      <w:bookmarkStart w:id="4" w:name="OLE_LINK8"/>
      <w:r>
        <w:rPr>
          <w:rFonts w:hint="eastAsia" w:ascii="宋体" w:hAnsi="宋体" w:eastAsia="宋体" w:cs="宋体"/>
          <w:color w:val="auto"/>
          <w:highlight w:val="none"/>
        </w:rPr>
        <w:t>时间）</w:t>
      </w:r>
    </w:p>
    <w:bookmarkEnd w:id="4"/>
    <w:p w14:paraId="51CA66A1">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开标地点：大连国企阳光采购服务平台开标室线上开标</w:t>
      </w:r>
    </w:p>
    <w:p w14:paraId="1812555E">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投标文件上传网址：http://www.dlygcg.com/。</w:t>
      </w:r>
    </w:p>
    <w:bookmarkEnd w:id="0"/>
    <w:bookmarkEnd w:id="1"/>
    <w:bookmarkEnd w:id="2"/>
    <w:bookmarkEnd w:id="3"/>
    <w:p w14:paraId="5E80785A">
      <w:pPr>
        <w:keepNext w:val="0"/>
        <w:keepLines w:val="0"/>
        <w:pageBreakBefore w:val="0"/>
        <w:widowControl/>
        <w:shd w:val="clear"/>
        <w:kinsoku/>
        <w:wordWrap/>
        <w:overflowPunct/>
        <w:topLinePunct w:val="0"/>
        <w:autoSpaceDE/>
        <w:autoSpaceDN/>
        <w:bidi w:val="0"/>
        <w:adjustRightInd w:val="0"/>
        <w:snapToGrid w:val="0"/>
        <w:spacing w:after="0"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五、公告期限</w:t>
      </w:r>
    </w:p>
    <w:p w14:paraId="28314002">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自本公告发布之日起5个工作日。</w:t>
      </w:r>
    </w:p>
    <w:p w14:paraId="189D6BAD">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2" w:firstLineChars="200"/>
        <w:jc w:val="both"/>
        <w:textAlignment w:val="auto"/>
        <w:rPr>
          <w:rFonts w:hint="eastAsia" w:ascii="宋体" w:hAnsi="宋体" w:eastAsia="宋体" w:cs="宋体"/>
          <w:color w:val="auto"/>
          <w:highlight w:val="none"/>
        </w:rPr>
      </w:pPr>
      <w:r>
        <w:rPr>
          <w:rStyle w:val="20"/>
          <w:rFonts w:hint="eastAsia" w:ascii="宋体" w:hAnsi="宋体" w:eastAsia="宋体" w:cs="宋体"/>
          <w:color w:val="auto"/>
          <w:highlight w:val="none"/>
        </w:rPr>
        <w:t>六、其他补充事宜</w:t>
      </w:r>
    </w:p>
    <w:p w14:paraId="0FD9D808">
      <w:pPr>
        <w:pStyle w:val="14"/>
        <w:keepNext w:val="0"/>
        <w:keepLines w:val="0"/>
        <w:pageBreakBefore w:val="0"/>
        <w:widowControl/>
        <w:shd w:val="clear"/>
        <w:kinsoku/>
        <w:wordWrap w:val="0"/>
        <w:overflowPunct/>
        <w:topLinePunct w:val="0"/>
        <w:autoSpaceDE/>
        <w:autoSpaceDN/>
        <w:bidi w:val="0"/>
        <w:adjustRightInd w:val="0"/>
        <w:snapToGrid w:val="0"/>
        <w:spacing w:before="0" w:beforeAutospacing="0" w:after="0" w:afterAutospacing="0" w:line="360" w:lineRule="auto"/>
        <w:ind w:firstLine="480" w:firstLineChars="200"/>
        <w:textAlignment w:val="auto"/>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1.</w:t>
      </w:r>
      <w:r>
        <w:rPr>
          <w:rStyle w:val="24"/>
          <w:rFonts w:hint="eastAsia" w:ascii="宋体" w:hAnsi="宋体" w:eastAsia="宋体" w:cs="宋体"/>
          <w:color w:val="auto"/>
          <w:highlight w:val="none"/>
        </w:rPr>
        <w:t>在线递交投标文件。投标人应在规定的提交投标文件截止时间前登陆大连国企阳光采购服务平台（http://www.dlygcg.com/），凭数字证书（CA）在线上传完成符合规定格式要求的投标文件。投标文件需要投标人凭数字证书（CA）进行在线解密。</w:t>
      </w:r>
    </w:p>
    <w:p w14:paraId="731AA917">
      <w:pPr>
        <w:pStyle w:val="14"/>
        <w:keepNext w:val="0"/>
        <w:keepLines w:val="0"/>
        <w:pageBreakBefore w:val="0"/>
        <w:widowControl/>
        <w:shd w:val="clear"/>
        <w:kinsoku/>
        <w:wordWrap w:val="0"/>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2.</w:t>
      </w:r>
      <w:r>
        <w:rPr>
          <w:rStyle w:val="24"/>
          <w:rFonts w:hint="eastAsia" w:ascii="宋体" w:hAnsi="宋体" w:eastAsia="宋体" w:cs="宋体"/>
          <w:color w:val="auto"/>
          <w:highlight w:val="none"/>
        </w:rPr>
        <w:t>本项目开标为线上不见面开标，具体业务流程及操作手册请于“https://www.lecaiyun.com/helpcenter/document#/document/dashboard?siteCode=dlygcg”处自行下载查询学习，并提前按照要求调整好浏览器等相关设置，避免无法在指定时间进入本项目开标大厅参加项目开标、投标文件解密、报价确认操作，若因投标人自身原因无法在规定时间内进行解密或解密不成功，视为投标文件无效，投标人自行承担相关后果。</w:t>
      </w:r>
      <w:r>
        <w:rPr>
          <w:rFonts w:hint="eastAsia" w:ascii="宋体" w:hAnsi="宋体" w:eastAsia="宋体" w:cs="宋体"/>
          <w:color w:val="auto"/>
          <w:highlight w:val="none"/>
        </w:rPr>
        <w:t>投标人在使用系统进行投标的过程中遇到涉及平台使用的任何问题，可致电阳光采购服务平台技术支持热线咨询，联系方式:95763。</w:t>
      </w:r>
    </w:p>
    <w:p w14:paraId="0AA17746">
      <w:pPr>
        <w:pStyle w:val="14"/>
        <w:keepNext w:val="0"/>
        <w:keepLines w:val="0"/>
        <w:pageBreakBefore w:val="0"/>
        <w:widowControl/>
        <w:shd w:val="clear"/>
        <w:kinsoku/>
        <w:wordWrap w:val="0"/>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CA锁办理流程：办理操作指南下载地址：“http://www.dlygcg.com/luban/detail?parentId=610970&amp;articleId=NQKm9gJFYI9WaoELkomIGA==”。</w:t>
      </w:r>
    </w:p>
    <w:p w14:paraId="7D4A5C0D">
      <w:pPr>
        <w:keepNext w:val="0"/>
        <w:keepLines w:val="0"/>
        <w:pageBreakBefore w:val="0"/>
        <w:widowControl/>
        <w:shd w:val="clear"/>
        <w:kinsoku/>
        <w:overflowPunct/>
        <w:topLinePunct w:val="0"/>
        <w:autoSpaceDE/>
        <w:autoSpaceDN/>
        <w:bidi w:val="0"/>
        <w:adjustRightInd w:val="0"/>
        <w:snapToGrid w:val="0"/>
        <w:spacing w:after="0" w:line="360" w:lineRule="auto"/>
        <w:ind w:right="-2"/>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七、对本次招标提出询问，请按以下方式联系。</w:t>
      </w:r>
    </w:p>
    <w:p w14:paraId="009AFD87">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1.采购人信息</w:t>
      </w:r>
    </w:p>
    <w:p w14:paraId="16DD4C89">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名称：大连东港商务区开发建设管理集团有限公司</w:t>
      </w:r>
    </w:p>
    <w:p w14:paraId="631C966A">
      <w:pPr>
        <w:keepNext w:val="0"/>
        <w:keepLines w:val="0"/>
        <w:pageBreakBefore w:val="0"/>
        <w:widowControl/>
        <w:shd w:val="clear"/>
        <w:kinsoku/>
        <w:overflowPunct/>
        <w:topLinePunct w:val="0"/>
        <w:autoSpaceDE/>
        <w:autoSpaceDN/>
        <w:bidi w:val="0"/>
        <w:adjustRightInd w:val="0"/>
        <w:snapToGrid w:val="0"/>
        <w:spacing w:after="0" w:line="360" w:lineRule="auto"/>
        <w:ind w:right="-222" w:rightChars="-101" w:firstLine="720" w:firstLineChars="3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地址：辽宁省大连市中山区港兴路105号</w:t>
      </w:r>
    </w:p>
    <w:p w14:paraId="733AE4FD">
      <w:pPr>
        <w:keepNext w:val="0"/>
        <w:keepLines w:val="0"/>
        <w:pageBreakBefore w:val="0"/>
        <w:widowControl/>
        <w:shd w:val="clear"/>
        <w:kinsoku/>
        <w:overflowPunct/>
        <w:topLinePunct w:val="0"/>
        <w:autoSpaceDE/>
        <w:autoSpaceDN/>
        <w:bidi w:val="0"/>
        <w:adjustRightInd w:val="0"/>
        <w:snapToGrid w:val="0"/>
        <w:spacing w:after="0" w:line="360" w:lineRule="auto"/>
        <w:ind w:right="-222" w:rightChars="-101" w:firstLine="720" w:firstLineChars="300"/>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联系方式：</w:t>
      </w:r>
      <w:bookmarkStart w:id="5" w:name="_Toc28359086"/>
      <w:bookmarkStart w:id="6" w:name="_Toc28359009"/>
      <w:r>
        <w:rPr>
          <w:rFonts w:hint="eastAsia" w:ascii="宋体" w:hAnsi="宋体" w:eastAsia="宋体" w:cs="宋体"/>
          <w:bCs/>
          <w:color w:val="auto"/>
          <w:sz w:val="24"/>
          <w:szCs w:val="24"/>
          <w:highlight w:val="none"/>
        </w:rPr>
        <w:t>0411-</w:t>
      </w:r>
      <w:r>
        <w:rPr>
          <w:rFonts w:hint="eastAsia" w:ascii="宋体" w:hAnsi="宋体" w:cs="宋体"/>
          <w:bCs/>
          <w:color w:val="auto"/>
          <w:sz w:val="24"/>
          <w:szCs w:val="24"/>
          <w:highlight w:val="none"/>
          <w:lang w:val="en-US" w:eastAsia="zh-CN"/>
        </w:rPr>
        <w:t>82760836</w:t>
      </w:r>
    </w:p>
    <w:bookmarkEnd w:id="5"/>
    <w:bookmarkEnd w:id="6"/>
    <w:p w14:paraId="5F5A262E">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2.采购代理机构信息</w:t>
      </w:r>
    </w:p>
    <w:p w14:paraId="54889F9F">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名称：辽宁和泰项目管理有限公司</w:t>
      </w:r>
    </w:p>
    <w:p w14:paraId="0002D270">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　址：</w:t>
      </w:r>
      <w:r>
        <w:rPr>
          <w:rFonts w:hint="eastAsia" w:ascii="宋体" w:hAnsi="宋体" w:eastAsia="宋体" w:cs="宋体"/>
          <w:color w:val="auto"/>
          <w:sz w:val="24"/>
          <w:highlight w:val="none"/>
        </w:rPr>
        <w:t>大连市甘井子区泉水A4区43A号建设控股大厦306室</w:t>
      </w:r>
    </w:p>
    <w:p w14:paraId="5640AF29">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项目联系人：徐英迪、郭子恒</w:t>
      </w:r>
    </w:p>
    <w:p w14:paraId="2735B4C4">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color w:val="auto"/>
          <w:sz w:val="24"/>
          <w:highlight w:val="none"/>
        </w:rPr>
      </w:pPr>
      <w:r>
        <w:rPr>
          <w:rFonts w:hint="eastAsia" w:ascii="宋体" w:hAnsi="宋体" w:eastAsia="宋体" w:cs="宋体"/>
          <w:bCs/>
          <w:color w:val="auto"/>
          <w:sz w:val="24"/>
          <w:szCs w:val="24"/>
          <w:highlight w:val="none"/>
        </w:rPr>
        <w:t>电　话：</w:t>
      </w:r>
      <w:r>
        <w:rPr>
          <w:rFonts w:hint="eastAsia" w:ascii="宋体" w:hAnsi="宋体" w:eastAsia="宋体" w:cs="宋体"/>
          <w:color w:val="auto"/>
          <w:sz w:val="24"/>
          <w:highlight w:val="none"/>
        </w:rPr>
        <w:t>0411</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rPr>
        <w:t>82856012</w:t>
      </w:r>
    </w:p>
    <w:p w14:paraId="0F214ADA">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电子邮箱：</w:t>
      </w:r>
      <w:r>
        <w:rPr>
          <w:rFonts w:hint="eastAsia" w:ascii="宋体" w:hAnsi="宋体" w:eastAsia="宋体" w:cs="宋体"/>
          <w:color w:val="auto"/>
          <w:highlight w:val="none"/>
          <w:u w:val="none"/>
        </w:rPr>
        <w:fldChar w:fldCharType="begin"/>
      </w:r>
      <w:r>
        <w:rPr>
          <w:rFonts w:hint="eastAsia" w:ascii="宋体" w:hAnsi="宋体" w:eastAsia="宋体" w:cs="宋体"/>
          <w:color w:val="auto"/>
          <w:highlight w:val="none"/>
          <w:u w:val="none"/>
        </w:rPr>
        <w:instrText xml:space="preserve"> HYPERLINK "mailto:hetai0411002@163.com" </w:instrText>
      </w:r>
      <w:r>
        <w:rPr>
          <w:rFonts w:hint="eastAsia" w:ascii="宋体" w:hAnsi="宋体" w:eastAsia="宋体" w:cs="宋体"/>
          <w:color w:val="auto"/>
          <w:highlight w:val="none"/>
          <w:u w:val="none"/>
        </w:rPr>
        <w:fldChar w:fldCharType="separate"/>
      </w:r>
      <w:r>
        <w:rPr>
          <w:rStyle w:val="22"/>
          <w:rFonts w:hint="eastAsia" w:ascii="宋体" w:hAnsi="宋体" w:cs="宋体"/>
          <w:color w:val="auto"/>
          <w:sz w:val="24"/>
          <w:highlight w:val="none"/>
          <w:u w:val="none"/>
          <w:lang w:eastAsia="zh-CN"/>
        </w:rPr>
        <w:t>lnht0411002@163.com</w:t>
      </w:r>
      <w:r>
        <w:rPr>
          <w:rStyle w:val="22"/>
          <w:rFonts w:hint="eastAsia" w:ascii="宋体" w:hAnsi="宋体" w:eastAsia="宋体" w:cs="宋体"/>
          <w:color w:val="auto"/>
          <w:sz w:val="24"/>
          <w:highlight w:val="none"/>
          <w:u w:val="none"/>
        </w:rPr>
        <w:fldChar w:fldCharType="end"/>
      </w:r>
      <w:r>
        <w:rPr>
          <w:rFonts w:hint="eastAsia" w:ascii="宋体" w:hAnsi="宋体" w:eastAsia="宋体" w:cs="宋体"/>
          <w:color w:val="auto"/>
          <w:sz w:val="24"/>
          <w:highlight w:val="none"/>
        </w:rPr>
        <w:br w:type="page"/>
      </w:r>
    </w:p>
    <w:p w14:paraId="78ED9BB6">
      <w:pPr>
        <w:shd w:val="clear"/>
        <w:spacing w:after="0" w:line="360" w:lineRule="auto"/>
        <w:ind w:right="-2"/>
        <w:rPr>
          <w:rFonts w:hint="eastAsia" w:ascii="宋体" w:hAnsi="宋体"/>
          <w:color w:val="auto"/>
          <w:sz w:val="24"/>
          <w:highlight w:val="none"/>
        </w:rPr>
      </w:pPr>
    </w:p>
    <w:p w14:paraId="3526F6C7">
      <w:pPr>
        <w:shd w:val="clear"/>
        <w:spacing w:after="0" w:line="360" w:lineRule="auto"/>
        <w:ind w:right="-2"/>
        <w:rPr>
          <w:rFonts w:hint="eastAsia" w:ascii="宋体" w:hAnsi="宋体"/>
          <w:color w:val="auto"/>
          <w:sz w:val="24"/>
          <w:highlight w:val="none"/>
        </w:rPr>
      </w:pPr>
    </w:p>
    <w:p w14:paraId="53731A67">
      <w:pPr>
        <w:shd w:val="clear"/>
        <w:spacing w:after="0" w:line="360" w:lineRule="auto"/>
        <w:ind w:right="-2"/>
        <w:rPr>
          <w:rFonts w:hint="eastAsia" w:ascii="宋体" w:hAnsi="宋体"/>
          <w:color w:val="auto"/>
          <w:sz w:val="24"/>
          <w:highlight w:val="none"/>
        </w:rPr>
      </w:pPr>
    </w:p>
    <w:p w14:paraId="26A05B0B">
      <w:pPr>
        <w:shd w:val="clear"/>
        <w:spacing w:after="0" w:line="360" w:lineRule="auto"/>
        <w:ind w:right="-2"/>
        <w:rPr>
          <w:rFonts w:hint="eastAsia" w:ascii="宋体" w:hAnsi="宋体"/>
          <w:color w:val="auto"/>
          <w:sz w:val="24"/>
          <w:highlight w:val="none"/>
        </w:rPr>
      </w:pPr>
    </w:p>
    <w:p w14:paraId="7CF1070D">
      <w:pPr>
        <w:shd w:val="clear"/>
        <w:spacing w:after="0" w:line="360" w:lineRule="auto"/>
        <w:ind w:right="-2"/>
        <w:rPr>
          <w:rFonts w:hint="eastAsia" w:ascii="宋体" w:hAnsi="宋体"/>
          <w:color w:val="auto"/>
          <w:sz w:val="24"/>
          <w:highlight w:val="none"/>
        </w:rPr>
      </w:pPr>
    </w:p>
    <w:p w14:paraId="696FC220">
      <w:pPr>
        <w:shd w:val="clear"/>
        <w:spacing w:after="0" w:line="360" w:lineRule="auto"/>
        <w:ind w:right="-2"/>
        <w:rPr>
          <w:rFonts w:hint="eastAsia" w:ascii="宋体" w:hAnsi="宋体"/>
          <w:color w:val="auto"/>
          <w:sz w:val="24"/>
          <w:highlight w:val="none"/>
        </w:rPr>
      </w:pPr>
    </w:p>
    <w:p w14:paraId="7413AF02">
      <w:pPr>
        <w:shd w:val="clear"/>
        <w:spacing w:after="0" w:line="360" w:lineRule="auto"/>
        <w:ind w:right="-2"/>
        <w:rPr>
          <w:rFonts w:hint="eastAsia" w:ascii="宋体" w:hAnsi="宋体"/>
          <w:color w:val="auto"/>
          <w:sz w:val="24"/>
          <w:highlight w:val="none"/>
        </w:rPr>
      </w:pPr>
    </w:p>
    <w:p w14:paraId="39105196">
      <w:pPr>
        <w:shd w:val="clear"/>
        <w:spacing w:after="0" w:line="360" w:lineRule="auto"/>
        <w:ind w:right="-2"/>
        <w:rPr>
          <w:rFonts w:hint="eastAsia" w:ascii="宋体" w:hAnsi="宋体"/>
          <w:color w:val="auto"/>
          <w:sz w:val="24"/>
          <w:highlight w:val="none"/>
        </w:rPr>
      </w:pPr>
    </w:p>
    <w:p w14:paraId="3C8F1CD0">
      <w:pPr>
        <w:shd w:val="clear"/>
        <w:spacing w:after="0" w:line="360" w:lineRule="auto"/>
        <w:ind w:right="-2"/>
        <w:rPr>
          <w:rFonts w:hint="eastAsia" w:ascii="宋体" w:hAnsi="宋体"/>
          <w:color w:val="auto"/>
          <w:sz w:val="24"/>
          <w:highlight w:val="none"/>
        </w:rPr>
      </w:pPr>
    </w:p>
    <w:p w14:paraId="10AE62BC">
      <w:pPr>
        <w:shd w:val="clear"/>
        <w:spacing w:after="0" w:line="360" w:lineRule="auto"/>
        <w:ind w:right="-2"/>
        <w:rPr>
          <w:rFonts w:hint="eastAsia" w:ascii="宋体" w:hAnsi="宋体"/>
          <w:color w:val="auto"/>
          <w:sz w:val="24"/>
          <w:highlight w:val="none"/>
        </w:rPr>
      </w:pPr>
    </w:p>
    <w:p w14:paraId="63606542">
      <w:pPr>
        <w:shd w:val="clear"/>
        <w:spacing w:after="0" w:line="360" w:lineRule="auto"/>
        <w:ind w:right="-2"/>
        <w:jc w:val="center"/>
        <w:rPr>
          <w:rFonts w:hint="eastAsia" w:ascii="宋体" w:hAnsi="宋体" w:eastAsia="宋体"/>
          <w:b/>
          <w:bCs/>
          <w:i/>
          <w:iCs/>
          <w:color w:val="auto"/>
          <w:sz w:val="44"/>
          <w:highlight w:val="none"/>
          <w:shd w:val="clear" w:color="FFFFFF" w:fill="D9D9D9"/>
          <w:lang w:eastAsia="zh-CN"/>
        </w:rPr>
      </w:pPr>
      <w:r>
        <w:rPr>
          <w:rFonts w:hint="eastAsia" w:ascii="宋体" w:hAnsi="宋体"/>
          <w:b/>
          <w:bCs/>
          <w:color w:val="auto"/>
          <w:sz w:val="44"/>
          <w:highlight w:val="none"/>
        </w:rPr>
        <w:t>第一章 投标人须知及前附表</w:t>
      </w:r>
    </w:p>
    <w:p w14:paraId="5D9DD105">
      <w:pPr>
        <w:shd w:val="clear"/>
        <w:spacing w:after="0" w:line="360" w:lineRule="auto"/>
        <w:ind w:right="-2"/>
        <w:jc w:val="center"/>
        <w:rPr>
          <w:rFonts w:hint="eastAsia" w:ascii="宋体" w:hAnsi="宋体"/>
          <w:b/>
          <w:color w:val="auto"/>
          <w:sz w:val="36"/>
          <w:szCs w:val="36"/>
          <w:highlight w:val="none"/>
        </w:rPr>
      </w:pPr>
      <w:r>
        <w:rPr>
          <w:rFonts w:hint="eastAsia" w:ascii="宋体" w:hAnsi="宋体"/>
          <w:bCs/>
          <w:color w:val="auto"/>
          <w:sz w:val="44"/>
          <w:highlight w:val="none"/>
        </w:rPr>
        <w:br w:type="page"/>
      </w:r>
      <w:r>
        <w:rPr>
          <w:rFonts w:hint="eastAsia" w:ascii="宋体" w:hAnsi="宋体"/>
          <w:b/>
          <w:color w:val="auto"/>
          <w:sz w:val="36"/>
          <w:szCs w:val="36"/>
          <w:highlight w:val="none"/>
        </w:rPr>
        <w:t>投标人须知前附表</w:t>
      </w:r>
    </w:p>
    <w:tbl>
      <w:tblPr>
        <w:tblStyle w:val="17"/>
        <w:tblW w:w="893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541"/>
        <w:gridCol w:w="6681"/>
      </w:tblGrid>
      <w:tr w14:paraId="3746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709" w:type="dxa"/>
            <w:tcBorders>
              <w:top w:val="single" w:color="auto" w:sz="4" w:space="0"/>
              <w:left w:val="single" w:color="auto" w:sz="4" w:space="0"/>
              <w:bottom w:val="single" w:color="auto" w:sz="4" w:space="0"/>
              <w:right w:val="single" w:color="auto" w:sz="4" w:space="0"/>
            </w:tcBorders>
            <w:vAlign w:val="center"/>
          </w:tcPr>
          <w:p w14:paraId="16B2F046">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序号</w:t>
            </w:r>
          </w:p>
        </w:tc>
        <w:tc>
          <w:tcPr>
            <w:tcW w:w="1541" w:type="dxa"/>
            <w:tcBorders>
              <w:top w:val="single" w:color="auto" w:sz="4" w:space="0"/>
              <w:left w:val="single" w:color="auto" w:sz="4" w:space="0"/>
              <w:bottom w:val="single" w:color="auto" w:sz="4" w:space="0"/>
              <w:right w:val="single" w:color="auto" w:sz="4" w:space="0"/>
            </w:tcBorders>
            <w:vAlign w:val="center"/>
          </w:tcPr>
          <w:p w14:paraId="4A423FDE">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项  目</w:t>
            </w:r>
          </w:p>
        </w:tc>
        <w:tc>
          <w:tcPr>
            <w:tcW w:w="6681" w:type="dxa"/>
            <w:tcBorders>
              <w:top w:val="single" w:color="auto" w:sz="4" w:space="0"/>
              <w:left w:val="single" w:color="auto" w:sz="4" w:space="0"/>
              <w:bottom w:val="single" w:color="auto" w:sz="4" w:space="0"/>
              <w:right w:val="single" w:color="auto" w:sz="4" w:space="0"/>
            </w:tcBorders>
            <w:vAlign w:val="center"/>
          </w:tcPr>
          <w:p w14:paraId="6CFB9921">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内            容</w:t>
            </w:r>
          </w:p>
        </w:tc>
      </w:tr>
      <w:tr w14:paraId="40F4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709" w:type="dxa"/>
            <w:tcBorders>
              <w:top w:val="single" w:color="auto" w:sz="4" w:space="0"/>
              <w:left w:val="single" w:color="auto" w:sz="4" w:space="0"/>
              <w:bottom w:val="single" w:color="auto" w:sz="4" w:space="0"/>
              <w:right w:val="single" w:color="auto" w:sz="4" w:space="0"/>
            </w:tcBorders>
            <w:vAlign w:val="center"/>
          </w:tcPr>
          <w:p w14:paraId="6FE5BCD7">
            <w:pPr>
              <w:pStyle w:val="31"/>
              <w:widowControl w:val="0"/>
              <w:pBdr>
                <w:left w:val="none" w:color="auto" w:sz="0" w:space="0"/>
                <w:bottom w:val="none" w:color="auto" w:sz="0" w:space="0"/>
                <w:right w:val="none" w:color="auto" w:sz="0" w:space="0"/>
              </w:pBdr>
              <w:shd w:val="clear"/>
              <w:spacing w:before="0" w:beforeAutospacing="0" w:after="0" w:afterAutospacing="0" w:line="360" w:lineRule="auto"/>
              <w:ind w:right="-2"/>
              <w:rPr>
                <w:rFonts w:hint="eastAsia" w:ascii="宋体" w:eastAsia="宋体"/>
                <w:color w:val="auto"/>
                <w:kern w:val="2"/>
                <w:highlight w:val="none"/>
              </w:rPr>
            </w:pPr>
            <w:r>
              <w:rPr>
                <w:rFonts w:hint="eastAsia" w:ascii="宋体" w:eastAsia="宋体"/>
                <w:color w:val="auto"/>
                <w:kern w:val="2"/>
                <w:highlight w:val="none"/>
              </w:rPr>
              <w:t>1</w:t>
            </w:r>
          </w:p>
        </w:tc>
        <w:tc>
          <w:tcPr>
            <w:tcW w:w="1541" w:type="dxa"/>
            <w:tcBorders>
              <w:top w:val="single" w:color="auto" w:sz="4" w:space="0"/>
              <w:left w:val="single" w:color="auto" w:sz="4" w:space="0"/>
              <w:bottom w:val="single" w:color="auto" w:sz="4" w:space="0"/>
              <w:right w:val="single" w:color="auto" w:sz="4" w:space="0"/>
            </w:tcBorders>
            <w:vAlign w:val="center"/>
          </w:tcPr>
          <w:p w14:paraId="07E375D8">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项目名称</w:t>
            </w:r>
          </w:p>
          <w:p w14:paraId="200A3B35">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项目编号</w:t>
            </w:r>
          </w:p>
        </w:tc>
        <w:tc>
          <w:tcPr>
            <w:tcW w:w="6681" w:type="dxa"/>
            <w:tcBorders>
              <w:top w:val="single" w:color="auto" w:sz="4" w:space="0"/>
              <w:left w:val="single" w:color="auto" w:sz="4" w:space="0"/>
              <w:bottom w:val="single" w:color="auto" w:sz="4" w:space="0"/>
              <w:right w:val="single" w:color="auto" w:sz="4" w:space="0"/>
            </w:tcBorders>
            <w:vAlign w:val="center"/>
          </w:tcPr>
          <w:p w14:paraId="23838177">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rPr>
              <w:t>项目名称：东港商务区2025年灯光音乐喷泉运行维护项目</w:t>
            </w:r>
          </w:p>
          <w:p w14:paraId="3511BB59">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rPr>
              <w:t>项目编号：</w:t>
            </w:r>
            <w:r>
              <w:rPr>
                <w:rFonts w:ascii="宋体" w:hAnsi="宋体"/>
                <w:color w:val="auto"/>
                <w:sz w:val="24"/>
                <w:highlight w:val="none"/>
              </w:rPr>
              <w:t>HTZB20250423</w:t>
            </w:r>
          </w:p>
        </w:tc>
      </w:tr>
      <w:tr w14:paraId="5D1A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Borders>
              <w:top w:val="single" w:color="auto" w:sz="4" w:space="0"/>
              <w:left w:val="single" w:color="auto" w:sz="4" w:space="0"/>
              <w:bottom w:val="single" w:color="auto" w:sz="4" w:space="0"/>
              <w:right w:val="single" w:color="auto" w:sz="4" w:space="0"/>
            </w:tcBorders>
            <w:vAlign w:val="center"/>
          </w:tcPr>
          <w:p w14:paraId="4020490D">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2</w:t>
            </w:r>
          </w:p>
        </w:tc>
        <w:tc>
          <w:tcPr>
            <w:tcW w:w="1541" w:type="dxa"/>
            <w:tcBorders>
              <w:top w:val="single" w:color="auto" w:sz="4" w:space="0"/>
              <w:left w:val="single" w:color="auto" w:sz="4" w:space="0"/>
              <w:bottom w:val="single" w:color="auto" w:sz="4" w:space="0"/>
              <w:right w:val="single" w:color="auto" w:sz="4" w:space="0"/>
            </w:tcBorders>
            <w:vAlign w:val="center"/>
          </w:tcPr>
          <w:p w14:paraId="3DD62870">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招标人</w:t>
            </w:r>
          </w:p>
        </w:tc>
        <w:tc>
          <w:tcPr>
            <w:tcW w:w="6681" w:type="dxa"/>
            <w:tcBorders>
              <w:top w:val="single" w:color="auto" w:sz="4" w:space="0"/>
              <w:left w:val="single" w:color="auto" w:sz="4" w:space="0"/>
              <w:bottom w:val="single" w:color="auto" w:sz="4" w:space="0"/>
              <w:right w:val="single" w:color="auto" w:sz="4" w:space="0"/>
            </w:tcBorders>
            <w:vAlign w:val="center"/>
          </w:tcPr>
          <w:p w14:paraId="039AF079">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rPr>
              <w:t>大连东港商务区开发建设管理集团有限公司</w:t>
            </w:r>
          </w:p>
        </w:tc>
      </w:tr>
      <w:tr w14:paraId="2381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Borders>
              <w:top w:val="single" w:color="auto" w:sz="4" w:space="0"/>
              <w:left w:val="single" w:color="auto" w:sz="4" w:space="0"/>
              <w:bottom w:val="single" w:color="auto" w:sz="4" w:space="0"/>
              <w:right w:val="single" w:color="auto" w:sz="4" w:space="0"/>
            </w:tcBorders>
            <w:vAlign w:val="center"/>
          </w:tcPr>
          <w:p w14:paraId="1A9AC46A">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3</w:t>
            </w:r>
          </w:p>
        </w:tc>
        <w:tc>
          <w:tcPr>
            <w:tcW w:w="1541" w:type="dxa"/>
            <w:tcBorders>
              <w:top w:val="single" w:color="auto" w:sz="4" w:space="0"/>
              <w:left w:val="single" w:color="auto" w:sz="4" w:space="0"/>
              <w:bottom w:val="single" w:color="auto" w:sz="4" w:space="0"/>
              <w:right w:val="single" w:color="auto" w:sz="4" w:space="0"/>
            </w:tcBorders>
            <w:vAlign w:val="center"/>
          </w:tcPr>
          <w:p w14:paraId="348C1D29">
            <w:pPr>
              <w:shd w:val="clear"/>
              <w:spacing w:after="0" w:line="360" w:lineRule="auto"/>
              <w:ind w:right="-2"/>
              <w:jc w:val="center"/>
              <w:rPr>
                <w:rFonts w:hint="eastAsia" w:ascii="宋体" w:hAnsi="宋体" w:cs="宋体"/>
                <w:color w:val="auto"/>
                <w:sz w:val="24"/>
                <w:highlight w:val="none"/>
              </w:rPr>
            </w:pPr>
            <w:r>
              <w:rPr>
                <w:rFonts w:hint="eastAsia" w:ascii="宋体" w:hAnsi="宋体" w:cs="宋体"/>
                <w:color w:val="auto"/>
                <w:sz w:val="24"/>
                <w:highlight w:val="none"/>
              </w:rPr>
              <w:t>采购预算</w:t>
            </w:r>
          </w:p>
        </w:tc>
        <w:tc>
          <w:tcPr>
            <w:tcW w:w="6681" w:type="dxa"/>
            <w:tcBorders>
              <w:top w:val="single" w:color="auto" w:sz="4" w:space="0"/>
              <w:left w:val="single" w:color="auto" w:sz="4" w:space="0"/>
              <w:bottom w:val="single" w:color="auto" w:sz="4" w:space="0"/>
              <w:right w:val="single" w:color="auto" w:sz="4" w:space="0"/>
            </w:tcBorders>
            <w:vAlign w:val="center"/>
          </w:tcPr>
          <w:p w14:paraId="190E876A">
            <w:pPr>
              <w:shd w:val="clear"/>
              <w:spacing w:after="0" w:line="360" w:lineRule="auto"/>
              <w:ind w:right="-2"/>
              <w:rPr>
                <w:rFonts w:hint="eastAsia" w:ascii="宋体" w:hAnsi="宋体" w:cs="宋体"/>
                <w:color w:val="auto"/>
                <w:sz w:val="24"/>
                <w:highlight w:val="none"/>
              </w:rPr>
            </w:pPr>
            <w:r>
              <w:rPr>
                <w:rFonts w:hint="eastAsia" w:ascii="宋体" w:hAnsi="宋体" w:cs="宋体"/>
                <w:color w:val="auto"/>
                <w:sz w:val="24"/>
                <w:highlight w:val="none"/>
              </w:rPr>
              <w:t>采购预算：</w:t>
            </w:r>
            <w:r>
              <w:rPr>
                <w:rFonts w:hint="eastAsia" w:ascii="宋体" w:hAnsi="宋体"/>
                <w:bCs/>
                <w:color w:val="auto"/>
                <w:sz w:val="24"/>
                <w:szCs w:val="24"/>
                <w:highlight w:val="none"/>
              </w:rPr>
              <w:t>48万元</w:t>
            </w:r>
          </w:p>
          <w:p w14:paraId="4DC37D27">
            <w:pPr>
              <w:shd w:val="clear" w:color="auto"/>
              <w:spacing w:after="0" w:line="360" w:lineRule="auto"/>
              <w:rPr>
                <w:rFonts w:hint="default" w:eastAsia="宋体"/>
                <w:color w:val="auto"/>
                <w:highlight w:val="none"/>
                <w:lang w:val="en-US" w:eastAsia="zh-CN"/>
              </w:rPr>
            </w:pPr>
            <w:r>
              <w:rPr>
                <w:rFonts w:hint="eastAsia" w:ascii="宋体" w:hAnsi="宋体" w:cs="宋体"/>
                <w:color w:val="auto"/>
                <w:sz w:val="24"/>
                <w:highlight w:val="none"/>
                <w:lang w:val="en-US" w:eastAsia="zh-CN"/>
              </w:rPr>
              <w:t>最高限价：</w:t>
            </w:r>
            <w:r>
              <w:rPr>
                <w:rFonts w:hint="eastAsia" w:ascii="宋体" w:hAnsi="宋体" w:eastAsia="宋体"/>
                <w:color w:val="auto"/>
                <w:sz w:val="24"/>
                <w:highlight w:val="none"/>
                <w:lang w:eastAsia="zh-CN"/>
              </w:rPr>
              <w:t>运行巡检部分：</w:t>
            </w:r>
            <w:r>
              <w:rPr>
                <w:rFonts w:hint="eastAsia" w:ascii="宋体" w:hAnsi="宋体" w:eastAsia="宋体"/>
                <w:color w:val="auto"/>
                <w:sz w:val="24"/>
                <w:highlight w:val="none"/>
                <w:lang w:val="en-US" w:eastAsia="zh-CN"/>
              </w:rPr>
              <w:t>40万元</w:t>
            </w:r>
            <w:bookmarkStart w:id="7" w:name="OLE_LINK1"/>
            <w:r>
              <w:rPr>
                <w:rFonts w:hint="eastAsia" w:ascii="宋体" w:hAnsi="宋体" w:cs="宋体"/>
                <w:color w:val="auto"/>
                <w:sz w:val="24"/>
                <w:highlight w:val="none"/>
              </w:rPr>
              <w:t>（投标报价超出</w:t>
            </w:r>
            <w:r>
              <w:rPr>
                <w:rFonts w:hint="eastAsia" w:ascii="宋体" w:hAnsi="宋体" w:cs="宋体"/>
                <w:color w:val="auto"/>
                <w:sz w:val="24"/>
                <w:highlight w:val="none"/>
                <w:lang w:val="en-US" w:eastAsia="zh-CN"/>
              </w:rPr>
              <w:t>最高限价</w:t>
            </w:r>
            <w:r>
              <w:rPr>
                <w:rFonts w:hint="eastAsia" w:ascii="宋体" w:hAnsi="宋体" w:cs="宋体"/>
                <w:color w:val="auto"/>
                <w:sz w:val="24"/>
                <w:highlight w:val="none"/>
              </w:rPr>
              <w:t>的，按无效投标处理）</w:t>
            </w:r>
            <w:r>
              <w:rPr>
                <w:rFonts w:hint="eastAsia" w:ascii="宋体" w:hAnsi="宋体" w:eastAsia="宋体"/>
                <w:color w:val="auto"/>
                <w:sz w:val="24"/>
                <w:highlight w:val="none"/>
                <w:lang w:val="en-US" w:eastAsia="zh-CN"/>
              </w:rPr>
              <w:t>；</w:t>
            </w:r>
            <w:r>
              <w:rPr>
                <w:rFonts w:hint="eastAsia" w:ascii="宋体" w:hAnsi="宋体" w:eastAsia="宋体"/>
                <w:color w:val="auto"/>
                <w:sz w:val="24"/>
                <w:highlight w:val="none"/>
              </w:rPr>
              <w:t>设备维修更换部分</w:t>
            </w:r>
            <w:r>
              <w:rPr>
                <w:rFonts w:hint="eastAsia" w:ascii="宋体" w:hAnsi="宋体" w:eastAsia="宋体"/>
                <w:color w:val="auto"/>
                <w:sz w:val="24"/>
                <w:highlight w:val="none"/>
                <w:lang w:eastAsia="zh-CN"/>
              </w:rPr>
              <w:t>：</w:t>
            </w:r>
            <w:r>
              <w:rPr>
                <w:rFonts w:hint="eastAsia" w:ascii="宋体" w:hAnsi="宋体"/>
                <w:color w:val="auto"/>
                <w:sz w:val="24"/>
                <w:highlight w:val="none"/>
                <w:lang w:val="en-US" w:eastAsia="zh-CN"/>
              </w:rPr>
              <w:t>详见招标文件第三章“单项最高限价”（投标单价高于单项最高限价的，按无效投标处理）</w:t>
            </w:r>
            <w:bookmarkEnd w:id="7"/>
          </w:p>
        </w:tc>
      </w:tr>
      <w:tr w14:paraId="05AF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Borders>
              <w:top w:val="single" w:color="auto" w:sz="4" w:space="0"/>
              <w:left w:val="single" w:color="auto" w:sz="4" w:space="0"/>
              <w:bottom w:val="single" w:color="auto" w:sz="4" w:space="0"/>
              <w:right w:val="single" w:color="auto" w:sz="4" w:space="0"/>
            </w:tcBorders>
            <w:vAlign w:val="center"/>
          </w:tcPr>
          <w:p w14:paraId="1AE9E08E">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4</w:t>
            </w:r>
          </w:p>
        </w:tc>
        <w:tc>
          <w:tcPr>
            <w:tcW w:w="1541" w:type="dxa"/>
            <w:tcBorders>
              <w:top w:val="single" w:color="auto" w:sz="4" w:space="0"/>
              <w:left w:val="single" w:color="auto" w:sz="4" w:space="0"/>
              <w:bottom w:val="single" w:color="auto" w:sz="4" w:space="0"/>
              <w:right w:val="single" w:color="auto" w:sz="4" w:space="0"/>
            </w:tcBorders>
            <w:vAlign w:val="center"/>
          </w:tcPr>
          <w:p w14:paraId="5CC1B1DB">
            <w:pPr>
              <w:shd w:val="clear"/>
              <w:spacing w:after="0" w:line="360" w:lineRule="auto"/>
              <w:ind w:right="-2"/>
              <w:jc w:val="center"/>
              <w:rPr>
                <w:rFonts w:hint="eastAsia" w:ascii="宋体" w:hAnsi="宋体" w:cs="宋体"/>
                <w:color w:val="auto"/>
                <w:sz w:val="24"/>
                <w:highlight w:val="none"/>
              </w:rPr>
            </w:pPr>
            <w:r>
              <w:rPr>
                <w:rFonts w:hint="eastAsia" w:ascii="宋体" w:hAnsi="宋体" w:cs="宋体"/>
                <w:color w:val="auto"/>
                <w:sz w:val="24"/>
                <w:highlight w:val="none"/>
              </w:rPr>
              <w:t>投标人资格条件</w:t>
            </w:r>
          </w:p>
        </w:tc>
        <w:tc>
          <w:tcPr>
            <w:tcW w:w="6681" w:type="dxa"/>
            <w:tcBorders>
              <w:top w:val="single" w:color="auto" w:sz="4" w:space="0"/>
              <w:left w:val="single" w:color="auto" w:sz="4" w:space="0"/>
              <w:bottom w:val="single" w:color="auto" w:sz="4" w:space="0"/>
              <w:right w:val="single" w:color="auto" w:sz="4" w:space="0"/>
            </w:tcBorders>
            <w:vAlign w:val="center"/>
          </w:tcPr>
          <w:p w14:paraId="074A6129">
            <w:pPr>
              <w:shd w:val="clear"/>
              <w:spacing w:after="0" w:line="360" w:lineRule="auto"/>
              <w:ind w:right="-2"/>
              <w:rPr>
                <w:rFonts w:hint="eastAsia" w:ascii="宋体" w:hAnsi="宋体" w:cs="宋体"/>
                <w:color w:val="auto"/>
                <w:sz w:val="24"/>
                <w:highlight w:val="none"/>
              </w:rPr>
            </w:pPr>
            <w:r>
              <w:rPr>
                <w:rFonts w:hint="eastAsia" w:ascii="宋体" w:hAnsi="宋体"/>
                <w:bCs/>
                <w:color w:val="auto"/>
                <w:sz w:val="24"/>
                <w:highlight w:val="none"/>
              </w:rPr>
              <w:t>详见投标邀请函。</w:t>
            </w:r>
          </w:p>
        </w:tc>
      </w:tr>
      <w:tr w14:paraId="7DF5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Borders>
              <w:top w:val="single" w:color="auto" w:sz="4" w:space="0"/>
              <w:left w:val="single" w:color="auto" w:sz="4" w:space="0"/>
              <w:bottom w:val="single" w:color="auto" w:sz="4" w:space="0"/>
              <w:right w:val="single" w:color="auto" w:sz="4" w:space="0"/>
            </w:tcBorders>
            <w:vAlign w:val="center"/>
          </w:tcPr>
          <w:p w14:paraId="5E2A4C9A">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5</w:t>
            </w:r>
          </w:p>
        </w:tc>
        <w:tc>
          <w:tcPr>
            <w:tcW w:w="1541" w:type="dxa"/>
            <w:tcBorders>
              <w:top w:val="single" w:color="auto" w:sz="4" w:space="0"/>
              <w:left w:val="single" w:color="auto" w:sz="4" w:space="0"/>
              <w:bottom w:val="single" w:color="auto" w:sz="4" w:space="0"/>
              <w:right w:val="single" w:color="auto" w:sz="4" w:space="0"/>
            </w:tcBorders>
            <w:vAlign w:val="center"/>
          </w:tcPr>
          <w:p w14:paraId="736C328B">
            <w:pPr>
              <w:shd w:val="clear"/>
              <w:spacing w:after="0" w:line="360" w:lineRule="auto"/>
              <w:ind w:right="-2"/>
              <w:jc w:val="center"/>
              <w:rPr>
                <w:rFonts w:hint="eastAsia" w:ascii="宋体" w:hAnsi="宋体" w:cs="宋体"/>
                <w:color w:val="auto"/>
                <w:sz w:val="24"/>
                <w:highlight w:val="none"/>
              </w:rPr>
            </w:pPr>
            <w:r>
              <w:rPr>
                <w:rFonts w:hint="eastAsia" w:ascii="宋体" w:hAnsi="宋体"/>
                <w:bCs/>
                <w:color w:val="auto"/>
                <w:sz w:val="24"/>
                <w:highlight w:val="none"/>
              </w:rPr>
              <w:t>投标有效期</w:t>
            </w:r>
          </w:p>
        </w:tc>
        <w:tc>
          <w:tcPr>
            <w:tcW w:w="6681" w:type="dxa"/>
            <w:tcBorders>
              <w:top w:val="single" w:color="auto" w:sz="4" w:space="0"/>
              <w:left w:val="single" w:color="auto" w:sz="4" w:space="0"/>
              <w:bottom w:val="single" w:color="auto" w:sz="4" w:space="0"/>
              <w:right w:val="single" w:color="auto" w:sz="4" w:space="0"/>
            </w:tcBorders>
            <w:vAlign w:val="center"/>
          </w:tcPr>
          <w:p w14:paraId="3D0C01AD">
            <w:pPr>
              <w:shd w:val="clear"/>
              <w:spacing w:after="0" w:line="360" w:lineRule="auto"/>
              <w:ind w:right="-2"/>
              <w:rPr>
                <w:rFonts w:hint="eastAsia" w:ascii="宋体" w:hAnsi="宋体" w:cs="宋体"/>
                <w:color w:val="auto"/>
                <w:sz w:val="24"/>
                <w:highlight w:val="none"/>
              </w:rPr>
            </w:pPr>
            <w:r>
              <w:rPr>
                <w:rFonts w:hint="eastAsia" w:ascii="宋体" w:hAnsi="宋体"/>
                <w:bCs/>
                <w:color w:val="auto"/>
                <w:sz w:val="24"/>
                <w:highlight w:val="none"/>
                <w:u w:val="single"/>
              </w:rPr>
              <w:t>90</w:t>
            </w:r>
            <w:r>
              <w:rPr>
                <w:rFonts w:hint="eastAsia" w:ascii="宋体" w:hAnsi="宋体"/>
                <w:bCs/>
                <w:color w:val="auto"/>
                <w:sz w:val="24"/>
                <w:highlight w:val="none"/>
              </w:rPr>
              <w:t>个日历日</w:t>
            </w:r>
          </w:p>
        </w:tc>
      </w:tr>
      <w:tr w14:paraId="5353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Borders>
              <w:top w:val="single" w:color="auto" w:sz="4" w:space="0"/>
              <w:left w:val="single" w:color="auto" w:sz="4" w:space="0"/>
              <w:bottom w:val="single" w:color="auto" w:sz="4" w:space="0"/>
              <w:right w:val="single" w:color="auto" w:sz="4" w:space="0"/>
            </w:tcBorders>
            <w:vAlign w:val="center"/>
          </w:tcPr>
          <w:p w14:paraId="436E34CC">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6</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0B2E33C4">
            <w:pPr>
              <w:shd w:val="clear"/>
              <w:spacing w:after="0" w:line="360" w:lineRule="auto"/>
              <w:ind w:right="-2"/>
              <w:jc w:val="center"/>
              <w:rPr>
                <w:rFonts w:hint="eastAsia" w:ascii="宋体" w:hAnsi="宋体" w:cs="宋体"/>
                <w:color w:val="auto"/>
                <w:sz w:val="24"/>
                <w:highlight w:val="none"/>
              </w:rPr>
            </w:pPr>
            <w:r>
              <w:rPr>
                <w:rFonts w:hint="eastAsia" w:ascii="宋体" w:hAnsi="宋体"/>
                <w:color w:val="auto"/>
                <w:sz w:val="24"/>
                <w:highlight w:val="none"/>
              </w:rPr>
              <w:t>投标保证金</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7624C00B">
            <w:pPr>
              <w:shd w:val="clear" w:color="auto"/>
              <w:spacing w:after="0" w:line="360" w:lineRule="auto"/>
              <w:rPr>
                <w:rFonts w:hint="eastAsia" w:ascii="宋体" w:hAnsi="宋体"/>
                <w:color w:val="auto"/>
                <w:sz w:val="24"/>
                <w:highlight w:val="none"/>
              </w:rPr>
            </w:pPr>
            <w:r>
              <w:rPr>
                <w:rFonts w:hint="eastAsia" w:ascii="宋体" w:hAnsi="宋体"/>
                <w:bCs/>
                <w:color w:val="auto"/>
                <w:sz w:val="24"/>
                <w:highlight w:val="none"/>
              </w:rPr>
              <w:t>☑</w:t>
            </w:r>
            <w:r>
              <w:rPr>
                <w:rFonts w:hint="eastAsia" w:ascii="宋体" w:hAnsi="宋体"/>
                <w:color w:val="auto"/>
                <w:sz w:val="24"/>
                <w:highlight w:val="none"/>
              </w:rPr>
              <w:t>本项目不收取投标保证金</w:t>
            </w:r>
          </w:p>
          <w:p w14:paraId="763B5593">
            <w:pPr>
              <w:shd w:val="clear" w:color="auto"/>
              <w:spacing w:after="0" w:line="360" w:lineRule="auto"/>
              <w:rPr>
                <w:rFonts w:hint="eastAsia" w:ascii="宋体" w:hAnsi="宋体"/>
                <w:color w:val="auto"/>
                <w:sz w:val="24"/>
                <w:highlight w:val="none"/>
              </w:rPr>
            </w:pPr>
            <w:r>
              <w:rPr>
                <w:rFonts w:hint="eastAsia" w:ascii="MS Mincho" w:hAnsi="MS Mincho" w:cs="MS Mincho"/>
                <w:color w:val="auto"/>
                <w:sz w:val="24"/>
                <w:szCs w:val="24"/>
                <w:highlight w:val="none"/>
              </w:rPr>
              <w:t>□</w:t>
            </w:r>
            <w:r>
              <w:rPr>
                <w:rFonts w:hint="eastAsia" w:ascii="宋体" w:hAnsi="宋体"/>
                <w:color w:val="auto"/>
                <w:sz w:val="24"/>
                <w:highlight w:val="none"/>
              </w:rPr>
              <w:t>本项目收取投标保证金</w:t>
            </w:r>
          </w:p>
        </w:tc>
      </w:tr>
      <w:tr w14:paraId="5058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09" w:type="dxa"/>
            <w:tcBorders>
              <w:top w:val="single" w:color="auto" w:sz="4" w:space="0"/>
              <w:left w:val="single" w:color="auto" w:sz="4" w:space="0"/>
              <w:bottom w:val="single" w:color="auto" w:sz="4" w:space="0"/>
              <w:right w:val="single" w:color="auto" w:sz="4" w:space="0"/>
            </w:tcBorders>
            <w:vAlign w:val="center"/>
          </w:tcPr>
          <w:p w14:paraId="3CC21D9E">
            <w:pPr>
              <w:pStyle w:val="31"/>
              <w:widowControl w:val="0"/>
              <w:pBdr>
                <w:left w:val="none" w:color="auto" w:sz="0" w:space="0"/>
                <w:bottom w:val="none" w:color="auto" w:sz="0" w:space="0"/>
                <w:right w:val="none" w:color="auto" w:sz="0" w:space="0"/>
              </w:pBdr>
              <w:shd w:val="clear"/>
              <w:spacing w:before="0" w:beforeAutospacing="0" w:after="0" w:afterAutospacing="0" w:line="360" w:lineRule="auto"/>
              <w:ind w:right="-2"/>
              <w:rPr>
                <w:rFonts w:hint="eastAsia" w:ascii="宋体" w:eastAsia="宋体"/>
                <w:color w:val="auto"/>
                <w:kern w:val="2"/>
                <w:highlight w:val="none"/>
              </w:rPr>
            </w:pPr>
            <w:r>
              <w:rPr>
                <w:rFonts w:hint="eastAsia" w:ascii="宋体" w:eastAsia="宋体"/>
                <w:color w:val="auto"/>
                <w:kern w:val="2"/>
                <w:highlight w:val="none"/>
              </w:rPr>
              <w:t>7</w:t>
            </w:r>
          </w:p>
        </w:tc>
        <w:tc>
          <w:tcPr>
            <w:tcW w:w="1541" w:type="dxa"/>
            <w:tcBorders>
              <w:top w:val="single" w:color="auto" w:sz="4" w:space="0"/>
              <w:left w:val="single" w:color="auto" w:sz="4" w:space="0"/>
              <w:bottom w:val="single" w:color="auto" w:sz="4" w:space="0"/>
              <w:right w:val="single" w:color="auto" w:sz="4" w:space="0"/>
            </w:tcBorders>
            <w:vAlign w:val="center"/>
          </w:tcPr>
          <w:p w14:paraId="4ABCDE6E">
            <w:pPr>
              <w:shd w:val="clear"/>
              <w:spacing w:after="0" w:line="360" w:lineRule="auto"/>
              <w:ind w:right="-2"/>
              <w:jc w:val="center"/>
              <w:rPr>
                <w:rFonts w:hint="eastAsia" w:ascii="宋体" w:hAnsi="宋体" w:cs="宋体"/>
                <w:color w:val="auto"/>
                <w:sz w:val="24"/>
                <w:highlight w:val="none"/>
              </w:rPr>
            </w:pPr>
            <w:r>
              <w:rPr>
                <w:rFonts w:ascii="宋体" w:hAnsi="宋体" w:cs="宋体"/>
                <w:color w:val="auto"/>
                <w:sz w:val="24"/>
                <w:highlight w:val="none"/>
              </w:rPr>
              <w:t>投标文件编制及封装要</w:t>
            </w:r>
          </w:p>
        </w:tc>
        <w:tc>
          <w:tcPr>
            <w:tcW w:w="6681" w:type="dxa"/>
            <w:tcBorders>
              <w:top w:val="single" w:color="auto" w:sz="4" w:space="0"/>
              <w:left w:val="single" w:color="auto" w:sz="4" w:space="0"/>
              <w:bottom w:val="single" w:color="auto" w:sz="4" w:space="0"/>
              <w:right w:val="single" w:color="auto" w:sz="4" w:space="0"/>
            </w:tcBorders>
            <w:vAlign w:val="center"/>
          </w:tcPr>
          <w:p w14:paraId="0863A6BD">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b/>
                <w:color w:val="auto"/>
                <w:sz w:val="24"/>
                <w:highlight w:val="none"/>
              </w:rPr>
            </w:pPr>
            <w:r>
              <w:rPr>
                <w:rFonts w:hint="eastAsia" w:ascii="宋体" w:hAnsi="宋体" w:cs="宋体"/>
                <w:b/>
                <w:color w:val="auto"/>
                <w:sz w:val="24"/>
                <w:highlight w:val="none"/>
              </w:rPr>
              <w:t>1.在线递交投标文件（必须上传，否则为无效投标）。</w:t>
            </w:r>
          </w:p>
          <w:p w14:paraId="3C39F037">
            <w:pPr>
              <w:keepNext w:val="0"/>
              <w:keepLines w:val="0"/>
              <w:pageBreakBefore w:val="0"/>
              <w:widowControl/>
              <w:shd w:val="clear"/>
              <w:kinsoku/>
              <w:wordWrap w:val="0"/>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1）电子标书制作及递交要求：投标人登录电子投标客户端制作投标文件（下载地址：http://www.dlygcg.com/site/category?parentId=610974&amp;childrenCode=137-780081），投标人生成加密标书后，需在投标截止时间前将加密的投标文件上传至</w:t>
            </w:r>
            <w:r>
              <w:rPr>
                <w:rFonts w:hint="eastAsia" w:ascii="宋体" w:hAnsi="宋体" w:cs="宋体"/>
                <w:bCs/>
                <w:color w:val="auto"/>
                <w:sz w:val="24"/>
                <w:highlight w:val="none"/>
              </w:rPr>
              <w:t>大连国企阳光采购服务平台</w:t>
            </w:r>
            <w:r>
              <w:rPr>
                <w:rFonts w:hint="eastAsia" w:ascii="宋体" w:hAnsi="宋体" w:cs="宋体"/>
                <w:color w:val="auto"/>
                <w:sz w:val="24"/>
                <w:highlight w:val="none"/>
              </w:rPr>
              <w:t>，登录系统找到我的工作台〉项目采购〉投标文件上传，在线递交的电子标投标文件格式必须为加密的投标文件，否则为无效投标文件。</w:t>
            </w:r>
          </w:p>
          <w:p w14:paraId="3CB2EE93">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（2）开标时投标人须使用生成投标文件的数字证书（CA）对投标文件进行在线解密。未按要求解密或解密不成功的，视为投标文件无效。</w:t>
            </w:r>
          </w:p>
          <w:p w14:paraId="6134321B">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（3）投标人编制投标文件时应严格按照招标文件给定的格式和内容要求编制；投标文件须使用数字证书（CA）进行加密、解密，并在招标文件规定的位置进行电子签章和签字，否则为无效投标文件。</w:t>
            </w:r>
          </w:p>
          <w:p w14:paraId="66B2DDBD">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制作电子标书时如遇到需要签字而电子版无法签字时，请在纸质文件上签好后扫描至电子标书。</w:t>
            </w:r>
          </w:p>
          <w:p w14:paraId="43B83F46">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lang w:val="zh-CN"/>
              </w:rPr>
            </w:pPr>
            <w:r>
              <w:rPr>
                <w:rFonts w:hint="eastAsia" w:ascii="宋体" w:hAnsi="宋体" w:cs="宋体"/>
                <w:color w:val="auto"/>
                <w:sz w:val="24"/>
                <w:highlight w:val="none"/>
              </w:rPr>
              <w:t>（4）投</w:t>
            </w:r>
            <w:r>
              <w:rPr>
                <w:rFonts w:hint="eastAsia" w:ascii="宋体" w:hAnsi="宋体" w:cs="宋体"/>
                <w:color w:val="auto"/>
                <w:sz w:val="24"/>
                <w:highlight w:val="none"/>
                <w:lang w:val="zh-CN"/>
              </w:rPr>
              <w:t>标人须按照招标文件中规定的“电子投标文件构成”的要求，将投标文件全部组成部分上传至商务技术响应文件项下。</w:t>
            </w:r>
          </w:p>
          <w:p w14:paraId="2DFD304B">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bCs/>
                <w:color w:val="auto"/>
                <w:sz w:val="24"/>
                <w:highlight w:val="none"/>
                <w:lang w:val="zh-CN"/>
              </w:rPr>
            </w:pPr>
            <w:r>
              <w:rPr>
                <w:rFonts w:hint="eastAsia" w:ascii="宋体" w:hAnsi="宋体" w:cs="宋体"/>
                <w:bCs/>
                <w:color w:val="auto"/>
                <w:sz w:val="24"/>
                <w:highlight w:val="none"/>
                <w:lang w:val="zh-CN"/>
              </w:rPr>
              <w:t>（</w:t>
            </w:r>
            <w:r>
              <w:rPr>
                <w:rFonts w:hint="eastAsia" w:ascii="宋体" w:hAnsi="宋体" w:cs="宋体"/>
                <w:bCs/>
                <w:color w:val="auto"/>
                <w:sz w:val="24"/>
                <w:highlight w:val="none"/>
              </w:rPr>
              <w:t>5</w:t>
            </w:r>
            <w:r>
              <w:rPr>
                <w:rFonts w:hint="eastAsia" w:ascii="宋体" w:hAnsi="宋体" w:cs="宋体"/>
                <w:bCs/>
                <w:color w:val="auto"/>
                <w:sz w:val="24"/>
                <w:highlight w:val="none"/>
                <w:lang w:val="zh-CN"/>
              </w:rPr>
              <w:t>）</w:t>
            </w:r>
            <w:r>
              <w:rPr>
                <w:rFonts w:hint="eastAsia" w:ascii="宋体" w:hAnsi="宋体" w:cs="宋体"/>
                <w:color w:val="auto"/>
                <w:sz w:val="24"/>
                <w:highlight w:val="none"/>
              </w:rPr>
              <w:t>投标人应当在提交投标文件截止时间前完成电子投标文件的在线提交；提交投标文件截止时间前可以补充、修改或者撤回电子投标文件，补充或者修改电子投标文件的，应当先行撤回原文件，补充、修改后重新上传提交。提交投标文件截止时间前未完成提交的，视为未提交投标文件。</w:t>
            </w:r>
          </w:p>
          <w:p w14:paraId="0844A502">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（6）投标人通过电子投标客户端制作标书时，会生成两份电子标书，一份为加密标书，一份为备份标书，备份标书未加密。网上上传应为加密标书。投标人仅提交备份文件的，投标无效。</w:t>
            </w:r>
          </w:p>
          <w:p w14:paraId="63A5125C">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color w:val="auto"/>
                <w:highlight w:val="none"/>
              </w:rPr>
            </w:pPr>
            <w:r>
              <w:rPr>
                <w:rFonts w:hint="eastAsia" w:ascii="宋体" w:hAnsi="宋体" w:cs="宋体"/>
                <w:color w:val="auto"/>
                <w:sz w:val="24"/>
                <w:highlight w:val="none"/>
              </w:rPr>
              <w:t>（7）投标文件解密时间：30分钟内。投标人应在规定的投标文件解密时间内完成投标文件解密。当开标时遇到加密标书解密异常情况，开标人员应联系授权代表，在规定时间内（由开标人员现场确定解密30分钟是否需延长）将备份标书提交给开标工作人员。系统支持使用备份标书进行评审，因投标人自身原因导致未解密且未在规定时间内提供备份标书，视为未递交投标文件。</w:t>
            </w:r>
          </w:p>
          <w:p w14:paraId="50AFCD5E">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b/>
                <w:color w:val="auto"/>
                <w:sz w:val="24"/>
                <w:highlight w:val="none"/>
              </w:rPr>
            </w:pPr>
            <w:r>
              <w:rPr>
                <w:rFonts w:hint="eastAsia" w:ascii="宋体" w:hAnsi="宋体" w:cs="宋体"/>
                <w:b/>
                <w:color w:val="auto"/>
                <w:sz w:val="24"/>
                <w:highlight w:val="none"/>
              </w:rPr>
              <w:t>2.备份投标文件（投标人根据自身情况自主决定是否递交）</w:t>
            </w:r>
          </w:p>
          <w:p w14:paraId="11E23F6A">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备份投标（响应）文件：</w:t>
            </w:r>
          </w:p>
          <w:p w14:paraId="0D8807DE">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1）备份文件要求：自愿递交。如递交，投标人需将投标（响应）文件制作为压缩加密文件发送至指定地址，邮箱中注明联系人和电话，如需开启备份文件，会联系邮箱中注明的联系人和电话，如因邮箱中注明的联系人和电话无法接通导致无法解密，按未递交备份文件处理。（投标人如不对文件进行加密，造成文件泄露，后果自行承担）。</w:t>
            </w:r>
          </w:p>
          <w:p w14:paraId="2AF3E3A8">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（2）递交备份文件地址：ln</w:t>
            </w:r>
            <w:r>
              <w:rPr>
                <w:rFonts w:hint="eastAsia" w:ascii="宋体" w:hAnsi="宋体" w:cs="宋体"/>
                <w:color w:val="auto"/>
                <w:sz w:val="24"/>
                <w:highlight w:val="none"/>
                <w:lang w:eastAsia="zh-CN"/>
              </w:rPr>
              <w:t>lnht0411002@163.com</w:t>
            </w:r>
          </w:p>
          <w:p w14:paraId="3AFF99CB">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（3）备份文件递交截止时间：同开标时间。</w:t>
            </w:r>
          </w:p>
          <w:p w14:paraId="406914FB">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（4）如需递交备份投标（响应）文件时，投标人代表应出具《递交备份投标（响应）文件授权函》，未按要求提供的，采购单位、招标代理机构应拒收备份投标（响应）文件。</w:t>
            </w:r>
          </w:p>
          <w:p w14:paraId="7BB67DBB">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b/>
                <w:bCs/>
                <w:color w:val="auto"/>
                <w:sz w:val="24"/>
                <w:highlight w:val="none"/>
              </w:rPr>
              <w:t>注：投标人提供的《递交备份投标（响应）文件授权函》随备份文件一同发送至指定地址。</w:t>
            </w:r>
          </w:p>
          <w:p w14:paraId="0FC7318B">
            <w:pPr>
              <w:keepNext w:val="0"/>
              <w:keepLines w:val="0"/>
              <w:pageBreakBefore w:val="0"/>
              <w:widowControl/>
              <w:numPr>
                <w:ilvl w:val="0"/>
                <w:numId w:val="1"/>
              </w:numPr>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通过“大连国企阳光采购服务平台”上传递交的投标（响应）文件无法按时解密，投标人递交了备份投标（响应）文件的，以备份投标（响应）文件为依据，否则视为投标（响应）文件撤回；通过“大连国企阳光采购服务平台”上传递交的投标（响应）文件已按时解密的，备份投标（响应）文件自动失效；投标人仅提交备份投标（响应）文件，没有通过“大连国企阳光采购服务平台”上传递交投标（响应）文件的，投标（响应）无效；备份投标（响应）文件不是投标（响应）备选方案。</w:t>
            </w:r>
          </w:p>
          <w:p w14:paraId="04D90175">
            <w:pPr>
              <w:keepNext w:val="0"/>
              <w:keepLines w:val="0"/>
              <w:pageBreakBefore w:val="0"/>
              <w:widowControl/>
              <w:numPr>
                <w:ilvl w:val="255"/>
                <w:numId w:val="0"/>
              </w:numPr>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b/>
                <w:color w:val="auto"/>
                <w:sz w:val="24"/>
                <w:highlight w:val="none"/>
              </w:rPr>
              <w:t>3.中标人需在取得中标通知书后十日内向招标代理机构提交至少五套纸质投标文件，并加盖公章。纸质投标文件应与开评标时电子投标文件内容一致。如因中标人提供纸质投标文件与电子投标文件不一致，招标人不承担任何形式的责任，给招标人造成的经济损失，由中标人自行承担。</w:t>
            </w:r>
          </w:p>
        </w:tc>
      </w:tr>
      <w:tr w14:paraId="1BE0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vAlign w:val="center"/>
          </w:tcPr>
          <w:p w14:paraId="2ABA7E23">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8</w:t>
            </w:r>
          </w:p>
        </w:tc>
        <w:tc>
          <w:tcPr>
            <w:tcW w:w="1541" w:type="dxa"/>
            <w:tcBorders>
              <w:top w:val="single" w:color="auto" w:sz="4" w:space="0"/>
              <w:left w:val="single" w:color="auto" w:sz="4" w:space="0"/>
              <w:bottom w:val="single" w:color="auto" w:sz="4" w:space="0"/>
              <w:right w:val="single" w:color="auto" w:sz="4" w:space="0"/>
            </w:tcBorders>
            <w:vAlign w:val="center"/>
          </w:tcPr>
          <w:p w14:paraId="07BBABF1">
            <w:pPr>
              <w:shd w:val="clear"/>
              <w:spacing w:after="0" w:line="360" w:lineRule="auto"/>
              <w:ind w:right="-2"/>
              <w:jc w:val="center"/>
              <w:rPr>
                <w:rFonts w:hint="eastAsia" w:ascii="宋体" w:hAnsi="宋体"/>
                <w:bCs/>
                <w:color w:val="auto"/>
                <w:sz w:val="24"/>
                <w:highlight w:val="none"/>
              </w:rPr>
            </w:pPr>
            <w:r>
              <w:rPr>
                <w:rFonts w:hint="eastAsia" w:ascii="宋体" w:hAnsi="宋体"/>
                <w:bCs/>
                <w:color w:val="auto"/>
                <w:sz w:val="24"/>
                <w:highlight w:val="none"/>
              </w:rPr>
              <w:t>投标文件递交时间、地点</w:t>
            </w:r>
          </w:p>
        </w:tc>
        <w:tc>
          <w:tcPr>
            <w:tcW w:w="6681" w:type="dxa"/>
            <w:tcBorders>
              <w:top w:val="single" w:color="auto" w:sz="4" w:space="0"/>
              <w:left w:val="single" w:color="auto" w:sz="4" w:space="0"/>
              <w:bottom w:val="single" w:color="auto" w:sz="4" w:space="0"/>
              <w:right w:val="single" w:color="auto" w:sz="4" w:space="0"/>
            </w:tcBorders>
            <w:vAlign w:val="center"/>
          </w:tcPr>
          <w:p w14:paraId="7C4FF7D2">
            <w:pPr>
              <w:shd w:val="clear"/>
              <w:spacing w:after="0" w:line="360" w:lineRule="auto"/>
              <w:ind w:right="-2"/>
              <w:rPr>
                <w:rFonts w:hint="eastAsia" w:ascii="宋体" w:hAnsi="宋体"/>
                <w:bCs/>
                <w:color w:val="auto"/>
                <w:sz w:val="24"/>
                <w:highlight w:val="none"/>
              </w:rPr>
            </w:pPr>
            <w:r>
              <w:rPr>
                <w:rFonts w:hint="eastAsia" w:ascii="宋体" w:hAnsi="宋体"/>
                <w:bCs/>
                <w:color w:val="auto"/>
                <w:sz w:val="24"/>
                <w:highlight w:val="none"/>
              </w:rPr>
              <w:t>详见投标邀请函。</w:t>
            </w:r>
          </w:p>
        </w:tc>
      </w:tr>
      <w:tr w14:paraId="28BF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vAlign w:val="center"/>
          </w:tcPr>
          <w:p w14:paraId="5F7EE9C7">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9</w:t>
            </w:r>
          </w:p>
        </w:tc>
        <w:tc>
          <w:tcPr>
            <w:tcW w:w="1541" w:type="dxa"/>
            <w:tcBorders>
              <w:top w:val="single" w:color="auto" w:sz="4" w:space="0"/>
              <w:left w:val="single" w:color="auto" w:sz="4" w:space="0"/>
              <w:bottom w:val="single" w:color="auto" w:sz="4" w:space="0"/>
              <w:right w:val="single" w:color="auto" w:sz="4" w:space="0"/>
            </w:tcBorders>
            <w:vAlign w:val="center"/>
          </w:tcPr>
          <w:p w14:paraId="72360838">
            <w:pPr>
              <w:shd w:val="clear"/>
              <w:spacing w:after="0" w:line="360" w:lineRule="auto"/>
              <w:ind w:right="-2"/>
              <w:jc w:val="center"/>
              <w:rPr>
                <w:rFonts w:hint="eastAsia" w:ascii="宋体" w:hAnsi="宋体"/>
                <w:bCs/>
                <w:color w:val="auto"/>
                <w:sz w:val="24"/>
                <w:highlight w:val="none"/>
              </w:rPr>
            </w:pPr>
            <w:r>
              <w:rPr>
                <w:rFonts w:hint="eastAsia" w:ascii="宋体" w:hAnsi="宋体"/>
                <w:bCs/>
                <w:color w:val="auto"/>
                <w:sz w:val="24"/>
                <w:highlight w:val="none"/>
              </w:rPr>
              <w:t>投标截止及开标时间、地点</w:t>
            </w:r>
          </w:p>
        </w:tc>
        <w:tc>
          <w:tcPr>
            <w:tcW w:w="6681" w:type="dxa"/>
            <w:tcBorders>
              <w:top w:val="single" w:color="auto" w:sz="4" w:space="0"/>
              <w:left w:val="single" w:color="auto" w:sz="4" w:space="0"/>
              <w:bottom w:val="single" w:color="auto" w:sz="4" w:space="0"/>
              <w:right w:val="single" w:color="auto" w:sz="4" w:space="0"/>
            </w:tcBorders>
            <w:vAlign w:val="center"/>
          </w:tcPr>
          <w:p w14:paraId="4F861EF0">
            <w:pPr>
              <w:shd w:val="clear"/>
              <w:spacing w:after="0" w:line="360" w:lineRule="auto"/>
              <w:ind w:right="-2"/>
              <w:rPr>
                <w:rFonts w:hint="eastAsia" w:ascii="宋体" w:hAnsi="宋体"/>
                <w:bCs/>
                <w:color w:val="auto"/>
                <w:sz w:val="24"/>
                <w:highlight w:val="none"/>
              </w:rPr>
            </w:pPr>
            <w:r>
              <w:rPr>
                <w:rFonts w:hint="eastAsia" w:ascii="宋体" w:hAnsi="宋体"/>
                <w:bCs/>
                <w:color w:val="auto"/>
                <w:sz w:val="24"/>
                <w:highlight w:val="none"/>
              </w:rPr>
              <w:t>详见投标邀请函。</w:t>
            </w:r>
          </w:p>
        </w:tc>
      </w:tr>
      <w:tr w14:paraId="1F77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709" w:type="dxa"/>
            <w:tcBorders>
              <w:top w:val="single" w:color="auto" w:sz="4" w:space="0"/>
              <w:left w:val="single" w:color="auto" w:sz="4" w:space="0"/>
              <w:bottom w:val="single" w:color="auto" w:sz="4" w:space="0"/>
              <w:right w:val="single" w:color="auto" w:sz="4" w:space="0"/>
            </w:tcBorders>
            <w:vAlign w:val="center"/>
          </w:tcPr>
          <w:p w14:paraId="08B88437">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w:t>
            </w:r>
          </w:p>
        </w:tc>
        <w:tc>
          <w:tcPr>
            <w:tcW w:w="1541" w:type="dxa"/>
            <w:tcBorders>
              <w:top w:val="single" w:color="auto" w:sz="4" w:space="0"/>
              <w:left w:val="single" w:color="auto" w:sz="4" w:space="0"/>
              <w:bottom w:val="single" w:color="auto" w:sz="4" w:space="0"/>
              <w:right w:val="single" w:color="auto" w:sz="4" w:space="0"/>
            </w:tcBorders>
            <w:vAlign w:val="center"/>
          </w:tcPr>
          <w:p w14:paraId="498845AF">
            <w:pPr>
              <w:shd w:val="clear"/>
              <w:spacing w:after="0" w:line="360" w:lineRule="auto"/>
              <w:ind w:right="-2"/>
              <w:jc w:val="center"/>
              <w:rPr>
                <w:rFonts w:hint="eastAsia" w:ascii="宋体" w:hAnsi="宋体"/>
                <w:bCs/>
                <w:color w:val="auto"/>
                <w:sz w:val="24"/>
                <w:highlight w:val="none"/>
              </w:rPr>
            </w:pPr>
            <w:r>
              <w:rPr>
                <w:rFonts w:hint="eastAsia" w:ascii="宋体" w:hAnsi="宋体"/>
                <w:bCs/>
                <w:color w:val="auto"/>
                <w:sz w:val="24"/>
                <w:highlight w:val="none"/>
              </w:rPr>
              <w:t>评标方法</w:t>
            </w:r>
          </w:p>
        </w:tc>
        <w:tc>
          <w:tcPr>
            <w:tcW w:w="6681" w:type="dxa"/>
            <w:tcBorders>
              <w:top w:val="single" w:color="auto" w:sz="4" w:space="0"/>
              <w:left w:val="single" w:color="auto" w:sz="4" w:space="0"/>
              <w:bottom w:val="single" w:color="auto" w:sz="4" w:space="0"/>
              <w:right w:val="single" w:color="auto" w:sz="4" w:space="0"/>
            </w:tcBorders>
            <w:vAlign w:val="center"/>
          </w:tcPr>
          <w:p w14:paraId="2A4C9930">
            <w:pPr>
              <w:shd w:val="clear"/>
              <w:spacing w:after="0" w:line="360" w:lineRule="auto"/>
              <w:ind w:right="-2"/>
              <w:rPr>
                <w:rFonts w:hint="eastAsia" w:ascii="宋体" w:hAnsi="宋体"/>
                <w:bCs/>
                <w:color w:val="auto"/>
                <w:sz w:val="24"/>
                <w:highlight w:val="none"/>
              </w:rPr>
            </w:pPr>
            <w:r>
              <w:rPr>
                <w:rFonts w:hint="eastAsia" w:ascii="MS Mincho" w:hAnsi="MS Mincho" w:eastAsia="MS Mincho" w:cs="MS Mincho"/>
                <w:color w:val="auto"/>
                <w:sz w:val="24"/>
                <w:szCs w:val="24"/>
                <w:highlight w:val="none"/>
              </w:rPr>
              <w:t>☑</w:t>
            </w:r>
            <w:r>
              <w:rPr>
                <w:rFonts w:hint="eastAsia" w:ascii="宋体" w:hAnsi="宋体"/>
                <w:bCs/>
                <w:color w:val="auto"/>
                <w:sz w:val="24"/>
                <w:highlight w:val="none"/>
              </w:rPr>
              <w:t>综合评分法</w:t>
            </w:r>
          </w:p>
          <w:p w14:paraId="3B1BDB01">
            <w:pPr>
              <w:shd w:val="clear"/>
              <w:spacing w:after="0" w:line="360" w:lineRule="auto"/>
              <w:ind w:right="-2"/>
              <w:rPr>
                <w:rFonts w:hint="eastAsia" w:ascii="宋体" w:hAnsi="宋体"/>
                <w:bCs/>
                <w:color w:val="auto"/>
                <w:sz w:val="24"/>
                <w:highlight w:val="none"/>
              </w:rPr>
            </w:pPr>
            <w:r>
              <w:rPr>
                <w:rFonts w:hint="eastAsia" w:ascii="宋体" w:hAnsi="宋体"/>
                <w:bCs/>
                <w:color w:val="auto"/>
                <w:sz w:val="24"/>
                <w:highlight w:val="none"/>
              </w:rPr>
              <w:t>□最低评标价法</w:t>
            </w:r>
          </w:p>
        </w:tc>
      </w:tr>
      <w:tr w14:paraId="569E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709" w:type="dxa"/>
            <w:tcBorders>
              <w:top w:val="single" w:color="auto" w:sz="4" w:space="0"/>
              <w:left w:val="single" w:color="auto" w:sz="4" w:space="0"/>
              <w:bottom w:val="single" w:color="auto" w:sz="4" w:space="0"/>
              <w:right w:val="single" w:color="auto" w:sz="4" w:space="0"/>
            </w:tcBorders>
            <w:vAlign w:val="center"/>
          </w:tcPr>
          <w:p w14:paraId="36F92806">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11</w:t>
            </w:r>
          </w:p>
        </w:tc>
        <w:tc>
          <w:tcPr>
            <w:tcW w:w="1541" w:type="dxa"/>
            <w:tcBorders>
              <w:top w:val="single" w:color="auto" w:sz="4" w:space="0"/>
              <w:left w:val="single" w:color="auto" w:sz="4" w:space="0"/>
              <w:bottom w:val="single" w:color="auto" w:sz="4" w:space="0"/>
              <w:right w:val="single" w:color="auto" w:sz="4" w:space="0"/>
            </w:tcBorders>
            <w:vAlign w:val="center"/>
          </w:tcPr>
          <w:p w14:paraId="18F5E860">
            <w:pPr>
              <w:shd w:val="clear"/>
              <w:spacing w:after="0" w:line="360" w:lineRule="auto"/>
              <w:ind w:right="-2"/>
              <w:jc w:val="center"/>
              <w:rPr>
                <w:rFonts w:hint="eastAsia" w:ascii="宋体" w:hAnsi="宋体" w:cs="宋体"/>
                <w:color w:val="auto"/>
                <w:sz w:val="24"/>
                <w:highlight w:val="none"/>
              </w:rPr>
            </w:pPr>
            <w:r>
              <w:rPr>
                <w:rFonts w:hint="eastAsia" w:ascii="宋体" w:hAnsi="宋体" w:eastAsia="宋体"/>
                <w:color w:val="auto"/>
                <w:sz w:val="24"/>
                <w:highlight w:val="none"/>
              </w:rPr>
              <w:t>投标报价货币及要求</w:t>
            </w:r>
          </w:p>
        </w:tc>
        <w:tc>
          <w:tcPr>
            <w:tcW w:w="6681" w:type="dxa"/>
            <w:tcBorders>
              <w:top w:val="single" w:color="auto" w:sz="4" w:space="0"/>
              <w:left w:val="single" w:color="auto" w:sz="4" w:space="0"/>
              <w:bottom w:val="single" w:color="auto" w:sz="4" w:space="0"/>
              <w:right w:val="single" w:color="auto" w:sz="4" w:space="0"/>
            </w:tcBorders>
            <w:vAlign w:val="center"/>
          </w:tcPr>
          <w:p w14:paraId="10B515AA">
            <w:pPr>
              <w:shd w:val="clear"/>
              <w:spacing w:after="0" w:line="360" w:lineRule="auto"/>
              <w:rPr>
                <w:rFonts w:hint="eastAsia" w:ascii="宋体" w:hAnsi="宋体"/>
                <w:bCs/>
                <w:color w:val="auto"/>
                <w:sz w:val="24"/>
                <w:highlight w:val="none"/>
              </w:rPr>
            </w:pPr>
            <w:r>
              <w:rPr>
                <w:rFonts w:hint="eastAsia" w:ascii="MS Mincho" w:hAnsi="MS Mincho" w:eastAsia="MS Mincho" w:cs="MS Mincho"/>
                <w:color w:val="auto"/>
                <w:sz w:val="24"/>
                <w:szCs w:val="24"/>
                <w:highlight w:val="none"/>
              </w:rPr>
              <w:t>☑</w:t>
            </w:r>
            <w:r>
              <w:rPr>
                <w:rFonts w:hint="eastAsia" w:ascii="宋体" w:hAnsi="宋体"/>
                <w:bCs/>
                <w:color w:val="auto"/>
                <w:sz w:val="24"/>
                <w:highlight w:val="none"/>
              </w:rPr>
              <w:t>所有投标均按人民币货币进行报价。</w:t>
            </w:r>
          </w:p>
          <w:p w14:paraId="4AC83426">
            <w:pPr>
              <w:shd w:val="clear"/>
              <w:spacing w:after="0" w:line="360" w:lineRule="auto"/>
              <w:rPr>
                <w:rFonts w:hint="eastAsia" w:ascii="宋体" w:hAnsi="宋体" w:cs="宋体"/>
                <w:color w:val="auto"/>
                <w:sz w:val="24"/>
                <w:highlight w:val="none"/>
              </w:rPr>
            </w:pPr>
            <w:r>
              <w:rPr>
                <w:rFonts w:hint="eastAsia" w:ascii="宋体" w:hAnsi="宋体"/>
                <w:bCs/>
                <w:color w:val="auto"/>
                <w:sz w:val="24"/>
                <w:highlight w:val="none"/>
              </w:rPr>
              <w:t xml:space="preserve">□其它：               </w:t>
            </w:r>
          </w:p>
        </w:tc>
      </w:tr>
      <w:tr w14:paraId="2394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09" w:type="dxa"/>
            <w:tcBorders>
              <w:top w:val="single" w:color="auto" w:sz="4" w:space="0"/>
              <w:left w:val="single" w:color="auto" w:sz="4" w:space="0"/>
              <w:bottom w:val="single" w:color="auto" w:sz="4" w:space="0"/>
              <w:right w:val="single" w:color="auto" w:sz="4" w:space="0"/>
            </w:tcBorders>
            <w:vAlign w:val="center"/>
          </w:tcPr>
          <w:p w14:paraId="5BF8E7F6">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12</w:t>
            </w:r>
          </w:p>
        </w:tc>
        <w:tc>
          <w:tcPr>
            <w:tcW w:w="1541" w:type="dxa"/>
            <w:tcBorders>
              <w:top w:val="single" w:color="auto" w:sz="4" w:space="0"/>
              <w:left w:val="single" w:color="auto" w:sz="4" w:space="0"/>
              <w:bottom w:val="single" w:color="auto" w:sz="4" w:space="0"/>
              <w:right w:val="single" w:color="auto" w:sz="4" w:space="0"/>
            </w:tcBorders>
            <w:vAlign w:val="center"/>
          </w:tcPr>
          <w:p w14:paraId="653BA5C0">
            <w:pPr>
              <w:shd w:val="clear"/>
              <w:spacing w:after="0" w:line="360" w:lineRule="auto"/>
              <w:ind w:right="-2"/>
              <w:jc w:val="center"/>
              <w:rPr>
                <w:rFonts w:hint="eastAsia" w:ascii="宋体" w:hAnsi="宋体" w:cs="宋体"/>
                <w:color w:val="auto"/>
                <w:sz w:val="24"/>
                <w:highlight w:val="none"/>
              </w:rPr>
            </w:pPr>
            <w:r>
              <w:rPr>
                <w:rFonts w:hint="eastAsia" w:ascii="宋体" w:hAnsi="宋体"/>
                <w:color w:val="auto"/>
                <w:sz w:val="24"/>
                <w:highlight w:val="none"/>
              </w:rPr>
              <w:t>服务要求</w:t>
            </w:r>
          </w:p>
        </w:tc>
        <w:tc>
          <w:tcPr>
            <w:tcW w:w="6681" w:type="dxa"/>
            <w:tcBorders>
              <w:top w:val="single" w:color="auto" w:sz="4" w:space="0"/>
              <w:left w:val="single" w:color="auto" w:sz="4" w:space="0"/>
              <w:bottom w:val="single" w:color="auto" w:sz="4" w:space="0"/>
              <w:right w:val="single" w:color="auto" w:sz="4" w:space="0"/>
            </w:tcBorders>
          </w:tcPr>
          <w:p w14:paraId="0D484649">
            <w:pPr>
              <w:shd w:val="clear"/>
              <w:spacing w:after="0" w:line="360" w:lineRule="auto"/>
              <w:ind w:right="-2"/>
              <w:rPr>
                <w:rFonts w:hint="eastAsia" w:ascii="宋体" w:hAnsi="宋体"/>
                <w:color w:val="auto"/>
                <w:sz w:val="24"/>
                <w:highlight w:val="none"/>
                <w:lang w:eastAsia="zh-CN"/>
              </w:rPr>
            </w:pPr>
            <w:r>
              <w:rPr>
                <w:rFonts w:hint="eastAsia" w:ascii="宋体" w:hAnsi="宋体" w:cs="宋体"/>
                <w:color w:val="auto"/>
                <w:sz w:val="24"/>
                <w:highlight w:val="none"/>
              </w:rPr>
              <w:t>★1.</w:t>
            </w:r>
            <w:r>
              <w:rPr>
                <w:rFonts w:hint="eastAsia" w:ascii="宋体" w:hAnsi="宋体"/>
                <w:color w:val="auto"/>
                <w:sz w:val="24"/>
                <w:highlight w:val="none"/>
              </w:rPr>
              <w:t>服务期限：</w:t>
            </w:r>
            <w:r>
              <w:rPr>
                <w:rFonts w:hint="eastAsia" w:ascii="宋体" w:hAnsi="宋体"/>
                <w:color w:val="auto"/>
                <w:sz w:val="24"/>
                <w:highlight w:val="none"/>
                <w:lang w:eastAsia="zh-CN"/>
              </w:rPr>
              <w:t>自合同签订之日起一年。</w:t>
            </w:r>
          </w:p>
          <w:p w14:paraId="48633A74">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lang w:eastAsia="zh-CN"/>
              </w:rPr>
              <w:t>注：</w:t>
            </w:r>
            <w:r>
              <w:rPr>
                <w:rFonts w:hint="eastAsia" w:ascii="宋体" w:hAnsi="宋体"/>
                <w:color w:val="auto"/>
                <w:sz w:val="24"/>
                <w:highlight w:val="none"/>
              </w:rPr>
              <w:t>在招标人落实下一年度预算的前提下，国家、省、市现行政策法规不变的条件下，且本项目服务要求不变、价格不变，经招标人与中标人双方协商同意，可依据本次招标结果所签订的合同续签合同，合同应当一年一签，最多可续签两年</w:t>
            </w:r>
            <w:r>
              <w:rPr>
                <w:rFonts w:hint="eastAsia" w:ascii="宋体" w:hAnsi="宋体"/>
                <w:color w:val="auto"/>
                <w:sz w:val="24"/>
                <w:highlight w:val="none"/>
                <w:lang w:eastAsia="zh-CN"/>
              </w:rPr>
              <w:t>。</w:t>
            </w:r>
          </w:p>
          <w:p w14:paraId="4C65C084">
            <w:pPr>
              <w:shd w:val="clear"/>
              <w:spacing w:after="0" w:line="360" w:lineRule="auto"/>
              <w:ind w:right="-2"/>
              <w:rPr>
                <w:rFonts w:hint="eastAsia" w:ascii="宋体" w:hAnsi="宋体"/>
                <w:color w:val="auto"/>
                <w:sz w:val="24"/>
                <w:highlight w:val="none"/>
              </w:rPr>
            </w:pPr>
            <w:r>
              <w:rPr>
                <w:rFonts w:hint="eastAsia" w:ascii="宋体" w:hAnsi="宋体" w:cs="宋体"/>
                <w:color w:val="auto"/>
                <w:sz w:val="24"/>
                <w:highlight w:val="none"/>
              </w:rPr>
              <w:t>★</w:t>
            </w:r>
            <w:r>
              <w:rPr>
                <w:rFonts w:hint="eastAsia" w:ascii="宋体" w:hAnsi="宋体"/>
                <w:color w:val="auto"/>
                <w:sz w:val="24"/>
                <w:highlight w:val="none"/>
              </w:rPr>
              <w:t>2.</w:t>
            </w:r>
            <w:r>
              <w:rPr>
                <w:rFonts w:hint="eastAsia" w:ascii="宋体" w:hAnsi="宋体"/>
                <w:color w:val="auto"/>
                <w:sz w:val="24"/>
                <w:highlight w:val="none"/>
                <w:lang w:eastAsia="zh-CN"/>
              </w:rPr>
              <w:t>服务地点</w:t>
            </w:r>
            <w:r>
              <w:rPr>
                <w:rFonts w:hint="eastAsia" w:ascii="宋体" w:hAnsi="宋体"/>
                <w:color w:val="auto"/>
                <w:sz w:val="24"/>
                <w:highlight w:val="none"/>
              </w:rPr>
              <w:t>：东港商务区音乐喷泉</w:t>
            </w:r>
            <w:r>
              <w:rPr>
                <w:rFonts w:hint="eastAsia" w:ascii="宋体" w:hAnsi="宋体"/>
                <w:color w:val="auto"/>
                <w:sz w:val="24"/>
                <w:highlight w:val="none"/>
                <w:lang w:eastAsia="zh-CN"/>
              </w:rPr>
              <w:t>，</w:t>
            </w:r>
            <w:r>
              <w:rPr>
                <w:rFonts w:hint="eastAsia" w:ascii="宋体" w:hAnsi="宋体" w:cs="Times New Roman"/>
                <w:color w:val="auto"/>
                <w:kern w:val="2"/>
                <w:sz w:val="24"/>
                <w:szCs w:val="24"/>
                <w:highlight w:val="none"/>
                <w:lang w:val="en-US" w:eastAsia="zh-CN" w:bidi="ar-SA"/>
              </w:rPr>
              <w:t>具体以招标人指定为准</w:t>
            </w:r>
            <w:r>
              <w:rPr>
                <w:rFonts w:hint="eastAsia" w:ascii="宋体" w:hAnsi="宋体"/>
                <w:color w:val="auto"/>
                <w:sz w:val="24"/>
                <w:highlight w:val="none"/>
              </w:rPr>
              <w:t>。</w:t>
            </w:r>
          </w:p>
          <w:p w14:paraId="6326853E">
            <w:pPr>
              <w:pStyle w:val="2"/>
              <w:shd w:val="clear"/>
              <w:spacing w:line="360" w:lineRule="auto"/>
              <w:rPr>
                <w:rFonts w:hint="eastAsia"/>
                <w:highlight w:val="none"/>
              </w:rPr>
            </w:pPr>
            <w:r>
              <w:rPr>
                <w:rFonts w:hint="eastAsia" w:ascii="宋体" w:hAnsi="宋体" w:cs="宋体"/>
                <w:color w:val="auto"/>
                <w:sz w:val="24"/>
                <w:highlight w:val="none"/>
              </w:rPr>
              <w:t>★</w:t>
            </w:r>
            <w:r>
              <w:rPr>
                <w:rFonts w:hint="eastAsia"/>
                <w:color w:val="auto"/>
                <w:sz w:val="24"/>
                <w:highlight w:val="none"/>
                <w:lang w:val="en-US" w:eastAsia="zh-CN"/>
              </w:rPr>
              <w:t>3.质保期：</w:t>
            </w:r>
            <w:r>
              <w:rPr>
                <w:rFonts w:hint="eastAsia" w:hAnsi="Calibri" w:cs="Times New Roman"/>
                <w:bCs/>
                <w:color w:val="auto"/>
                <w:kern w:val="2"/>
                <w:sz w:val="24"/>
                <w:szCs w:val="24"/>
                <w:highlight w:val="none"/>
                <w:lang w:val="en-US" w:eastAsia="zh-CN"/>
              </w:rPr>
              <w:t>更换配件部分，自更换后正式投运起一年。</w:t>
            </w:r>
          </w:p>
        </w:tc>
      </w:tr>
      <w:tr w14:paraId="1410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09" w:type="dxa"/>
            <w:tcBorders>
              <w:top w:val="single" w:color="auto" w:sz="4" w:space="0"/>
              <w:left w:val="single" w:color="auto" w:sz="4" w:space="0"/>
              <w:bottom w:val="single" w:color="auto" w:sz="4" w:space="0"/>
              <w:right w:val="single" w:color="auto" w:sz="4" w:space="0"/>
            </w:tcBorders>
            <w:vAlign w:val="center"/>
          </w:tcPr>
          <w:p w14:paraId="69A9DE9E">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13</w:t>
            </w:r>
          </w:p>
        </w:tc>
        <w:tc>
          <w:tcPr>
            <w:tcW w:w="1541" w:type="dxa"/>
            <w:tcBorders>
              <w:top w:val="single" w:color="auto" w:sz="4" w:space="0"/>
              <w:left w:val="single" w:color="auto" w:sz="4" w:space="0"/>
              <w:bottom w:val="single" w:color="auto" w:sz="4" w:space="0"/>
              <w:right w:val="single" w:color="auto" w:sz="4" w:space="0"/>
            </w:tcBorders>
            <w:vAlign w:val="center"/>
          </w:tcPr>
          <w:p w14:paraId="66F71157">
            <w:pPr>
              <w:shd w:val="clear"/>
              <w:tabs>
                <w:tab w:val="left" w:pos="4045"/>
              </w:tabs>
              <w:spacing w:after="0" w:line="360" w:lineRule="auto"/>
              <w:jc w:val="center"/>
              <w:rPr>
                <w:rFonts w:hint="eastAsia" w:ascii="宋体" w:hAnsi="宋体" w:cs="Times New Roman"/>
                <w:b/>
                <w:color w:val="auto"/>
                <w:sz w:val="24"/>
                <w:highlight w:val="none"/>
              </w:rPr>
            </w:pPr>
            <w:r>
              <w:rPr>
                <w:rFonts w:hint="eastAsia" w:ascii="宋体" w:hAnsi="宋体"/>
                <w:color w:val="auto"/>
                <w:sz w:val="24"/>
                <w:highlight w:val="none"/>
              </w:rPr>
              <w:t>演示要求</w:t>
            </w:r>
          </w:p>
        </w:tc>
        <w:tc>
          <w:tcPr>
            <w:tcW w:w="6681" w:type="dxa"/>
            <w:tcBorders>
              <w:top w:val="single" w:color="auto" w:sz="4" w:space="0"/>
              <w:left w:val="single" w:color="auto" w:sz="4" w:space="0"/>
              <w:bottom w:val="single" w:color="auto" w:sz="4" w:space="0"/>
              <w:right w:val="single" w:color="auto" w:sz="4" w:space="0"/>
            </w:tcBorders>
            <w:vAlign w:val="center"/>
          </w:tcPr>
          <w:p w14:paraId="41080E6D">
            <w:pPr>
              <w:shd w:val="clear"/>
              <w:spacing w:after="0" w:line="360" w:lineRule="auto"/>
              <w:rPr>
                <w:rFonts w:hint="eastAsia" w:ascii="宋体" w:hAnsi="宋体"/>
                <w:bCs/>
                <w:color w:val="auto"/>
                <w:sz w:val="24"/>
                <w:highlight w:val="none"/>
              </w:rPr>
            </w:pPr>
            <w:r>
              <w:rPr>
                <w:rFonts w:hint="eastAsia" w:ascii="MS Mincho" w:hAnsi="MS Mincho" w:eastAsia="MS Mincho" w:cs="MS Mincho"/>
                <w:color w:val="auto"/>
                <w:sz w:val="24"/>
                <w:szCs w:val="24"/>
                <w:highlight w:val="none"/>
              </w:rPr>
              <w:t>☑</w:t>
            </w:r>
            <w:r>
              <w:rPr>
                <w:rFonts w:hint="eastAsia" w:ascii="宋体" w:hAnsi="宋体"/>
                <w:bCs/>
                <w:color w:val="auto"/>
                <w:sz w:val="24"/>
                <w:highlight w:val="none"/>
              </w:rPr>
              <w:t>不需要提供演示</w:t>
            </w:r>
          </w:p>
          <w:p w14:paraId="02B15A3A">
            <w:pPr>
              <w:shd w:val="clear"/>
              <w:spacing w:after="0" w:line="360" w:lineRule="auto"/>
              <w:rPr>
                <w:rFonts w:hint="eastAsia" w:ascii="宋体" w:hAnsi="宋体"/>
                <w:bCs/>
                <w:color w:val="auto"/>
                <w:sz w:val="24"/>
                <w:highlight w:val="none"/>
              </w:rPr>
            </w:pPr>
            <w:r>
              <w:rPr>
                <w:rFonts w:hint="eastAsia" w:ascii="宋体" w:hAnsi="宋体"/>
                <w:bCs/>
                <w:color w:val="auto"/>
                <w:sz w:val="24"/>
                <w:highlight w:val="none"/>
              </w:rPr>
              <w:t>□需要提供演示</w:t>
            </w:r>
          </w:p>
          <w:p w14:paraId="4BCC0ABC">
            <w:pPr>
              <w:shd w:val="clear"/>
              <w:spacing w:after="0" w:line="360" w:lineRule="auto"/>
              <w:ind w:firstLine="240" w:firstLineChars="100"/>
              <w:rPr>
                <w:rFonts w:hint="eastAsia" w:ascii="宋体" w:hAnsi="宋体"/>
                <w:bCs/>
                <w:color w:val="auto"/>
                <w:sz w:val="24"/>
                <w:highlight w:val="none"/>
              </w:rPr>
            </w:pPr>
            <w:r>
              <w:rPr>
                <w:rFonts w:hint="eastAsia" w:ascii="宋体" w:hAnsi="宋体"/>
                <w:bCs/>
                <w:color w:val="auto"/>
                <w:sz w:val="24"/>
                <w:highlight w:val="none"/>
              </w:rPr>
              <w:t xml:space="preserve">演示时间：                          </w:t>
            </w:r>
          </w:p>
          <w:p w14:paraId="59690695">
            <w:pPr>
              <w:shd w:val="clear"/>
              <w:spacing w:after="0" w:line="360" w:lineRule="auto"/>
              <w:rPr>
                <w:rFonts w:hint="eastAsia" w:ascii="宋体" w:hAnsi="宋体"/>
                <w:bCs/>
                <w:color w:val="auto"/>
                <w:sz w:val="24"/>
                <w:highlight w:val="none"/>
              </w:rPr>
            </w:pPr>
            <w:r>
              <w:rPr>
                <w:rFonts w:hint="eastAsia" w:ascii="宋体" w:hAnsi="宋体"/>
                <w:bCs/>
                <w:color w:val="auto"/>
                <w:sz w:val="24"/>
                <w:highlight w:val="none"/>
              </w:rPr>
              <w:t xml:space="preserve">  演示地点：                          </w:t>
            </w:r>
          </w:p>
          <w:p w14:paraId="7EEFCFFF">
            <w:pPr>
              <w:shd w:val="clear"/>
              <w:tabs>
                <w:tab w:val="left" w:pos="4045"/>
              </w:tabs>
              <w:spacing w:after="0" w:line="360" w:lineRule="auto"/>
              <w:ind w:firstLine="240" w:firstLineChars="100"/>
              <w:rPr>
                <w:rFonts w:hint="eastAsia" w:ascii="宋体" w:hAnsi="宋体"/>
                <w:bCs/>
                <w:color w:val="auto"/>
                <w:sz w:val="24"/>
                <w:highlight w:val="none"/>
              </w:rPr>
            </w:pPr>
            <w:r>
              <w:rPr>
                <w:rFonts w:hint="eastAsia" w:ascii="宋体" w:hAnsi="宋体"/>
                <w:bCs/>
                <w:color w:val="auto"/>
                <w:sz w:val="24"/>
                <w:highlight w:val="none"/>
              </w:rPr>
              <w:t>演示要求：（内容、设备等要求）</w:t>
            </w:r>
          </w:p>
        </w:tc>
      </w:tr>
      <w:tr w14:paraId="2423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17EEF11">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14</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789DA2B0">
            <w:pPr>
              <w:keepNext w:val="0"/>
              <w:keepLines w:val="0"/>
              <w:pageBreakBefore w:val="0"/>
              <w:widowControl/>
              <w:shd w:val="clear" w:color="auto"/>
              <w:kinsoku/>
              <w:wordWrap/>
              <w:overflowPunct/>
              <w:topLinePunct w:val="0"/>
              <w:autoSpaceDE/>
              <w:autoSpaceDN/>
              <w:bidi w:val="0"/>
              <w:adjustRightInd w:val="0"/>
              <w:snapToGrid w:val="0"/>
              <w:spacing w:after="0" w:line="360" w:lineRule="auto"/>
              <w:ind w:firstLine="0" w:firstLineChars="0"/>
              <w:jc w:val="center"/>
              <w:textAlignment w:val="auto"/>
              <w:rPr>
                <w:rFonts w:hint="eastAsia" w:ascii="宋体" w:hAnsi="宋体" w:eastAsia="宋体"/>
                <w:color w:val="auto"/>
                <w:sz w:val="24"/>
                <w:highlight w:val="none"/>
              </w:rPr>
            </w:pPr>
            <w:r>
              <w:rPr>
                <w:rFonts w:hint="eastAsia" w:ascii="宋体" w:hAnsi="宋体" w:eastAsia="宋体"/>
                <w:color w:val="auto"/>
                <w:sz w:val="24"/>
                <w:highlight w:val="none"/>
              </w:rPr>
              <w:t>现场考察、开标前答疑会</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558B25D8">
            <w:pPr>
              <w:shd w:val="clear"/>
              <w:spacing w:after="0" w:line="360" w:lineRule="auto"/>
              <w:rPr>
                <w:rFonts w:hint="eastAsia" w:ascii="宋体" w:hAnsi="宋体"/>
                <w:color w:val="auto"/>
                <w:sz w:val="24"/>
                <w:highlight w:val="none"/>
              </w:rPr>
            </w:pPr>
            <w:r>
              <w:rPr>
                <w:rFonts w:hint="eastAsia" w:ascii="MS Mincho" w:hAnsi="MS Mincho" w:eastAsia="MS Mincho" w:cs="MS Mincho"/>
                <w:color w:val="auto"/>
                <w:sz w:val="24"/>
                <w:szCs w:val="24"/>
                <w:highlight w:val="none"/>
              </w:rPr>
              <w:t>☑</w:t>
            </w:r>
            <w:r>
              <w:rPr>
                <w:rFonts w:hint="eastAsia" w:ascii="宋体" w:hAnsi="宋体"/>
                <w:color w:val="auto"/>
                <w:sz w:val="24"/>
                <w:highlight w:val="none"/>
              </w:rPr>
              <w:t>不组织</w:t>
            </w:r>
          </w:p>
          <w:p w14:paraId="0A2030AE">
            <w:pPr>
              <w:shd w:val="clear"/>
              <w:spacing w:after="0" w:line="360" w:lineRule="auto"/>
              <w:rPr>
                <w:rFonts w:hint="eastAsia" w:ascii="宋体" w:hAnsi="宋体"/>
                <w:color w:val="auto"/>
                <w:sz w:val="24"/>
                <w:highlight w:val="none"/>
              </w:rPr>
            </w:pPr>
            <w:r>
              <w:rPr>
                <w:rFonts w:hint="eastAsia" w:ascii="宋体" w:hAnsi="宋体"/>
                <w:bCs/>
                <w:color w:val="auto"/>
                <w:sz w:val="24"/>
                <w:highlight w:val="none"/>
              </w:rPr>
              <w:t>□</w:t>
            </w:r>
            <w:r>
              <w:rPr>
                <w:rFonts w:hint="eastAsia" w:ascii="宋体" w:hAnsi="宋体"/>
                <w:color w:val="auto"/>
                <w:sz w:val="24"/>
                <w:highlight w:val="none"/>
              </w:rPr>
              <w:t>组织，招标文件提供期限截止后以书面形式通知。</w:t>
            </w:r>
          </w:p>
        </w:tc>
      </w:tr>
      <w:tr w14:paraId="5129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13CA6CA">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15</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181E4FB1">
            <w:pPr>
              <w:keepNext w:val="0"/>
              <w:keepLines w:val="0"/>
              <w:pageBreakBefore w:val="0"/>
              <w:widowControl/>
              <w:shd w:val="clear" w:color="auto"/>
              <w:kinsoku/>
              <w:wordWrap/>
              <w:overflowPunct/>
              <w:topLinePunct w:val="0"/>
              <w:autoSpaceDE/>
              <w:autoSpaceDN/>
              <w:bidi w:val="0"/>
              <w:adjustRightInd w:val="0"/>
              <w:snapToGrid w:val="0"/>
              <w:spacing w:after="0" w:line="360" w:lineRule="auto"/>
              <w:ind w:firstLine="0" w:firstLineChars="0"/>
              <w:jc w:val="center"/>
              <w:textAlignment w:val="auto"/>
              <w:rPr>
                <w:rFonts w:hint="eastAsia" w:ascii="宋体" w:hAnsi="宋体" w:eastAsia="宋体"/>
                <w:color w:val="auto"/>
                <w:sz w:val="24"/>
                <w:highlight w:val="none"/>
              </w:rPr>
            </w:pPr>
            <w:r>
              <w:rPr>
                <w:rFonts w:hint="eastAsia" w:ascii="宋体" w:hAnsi="宋体" w:eastAsia="宋体"/>
                <w:color w:val="auto"/>
                <w:sz w:val="24"/>
                <w:highlight w:val="none"/>
              </w:rPr>
              <w:t>项目负责人答辩</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7AC8B5AC">
            <w:pPr>
              <w:shd w:val="clear"/>
              <w:spacing w:after="0" w:line="360" w:lineRule="auto"/>
              <w:rPr>
                <w:rFonts w:hint="eastAsia" w:ascii="宋体" w:hAnsi="宋体"/>
                <w:bCs/>
                <w:color w:val="auto"/>
                <w:sz w:val="24"/>
                <w:highlight w:val="none"/>
              </w:rPr>
            </w:pPr>
            <w:r>
              <w:rPr>
                <w:rFonts w:hint="eastAsia" w:ascii="MS Mincho" w:hAnsi="MS Mincho" w:eastAsia="MS Mincho" w:cs="MS Mincho"/>
                <w:color w:val="auto"/>
                <w:sz w:val="24"/>
                <w:szCs w:val="24"/>
                <w:highlight w:val="none"/>
              </w:rPr>
              <w:t>☑</w:t>
            </w:r>
            <w:r>
              <w:rPr>
                <w:rFonts w:hint="eastAsia" w:ascii="宋体" w:hAnsi="宋体"/>
                <w:bCs/>
                <w:color w:val="auto"/>
                <w:sz w:val="24"/>
                <w:highlight w:val="none"/>
              </w:rPr>
              <w:t>不需要答辩</w:t>
            </w:r>
          </w:p>
          <w:p w14:paraId="26B422E9">
            <w:pPr>
              <w:shd w:val="clear"/>
              <w:spacing w:after="0" w:line="360" w:lineRule="auto"/>
              <w:rPr>
                <w:rFonts w:hint="eastAsia" w:ascii="宋体" w:hAnsi="宋体"/>
                <w:bCs/>
                <w:color w:val="auto"/>
                <w:sz w:val="24"/>
                <w:highlight w:val="none"/>
              </w:rPr>
            </w:pPr>
            <w:r>
              <w:rPr>
                <w:rFonts w:hint="eastAsia" w:ascii="宋体" w:hAnsi="宋体"/>
                <w:bCs/>
                <w:color w:val="auto"/>
                <w:sz w:val="24"/>
                <w:highlight w:val="none"/>
              </w:rPr>
              <w:t>□需要答辩</w:t>
            </w:r>
          </w:p>
        </w:tc>
      </w:tr>
      <w:tr w14:paraId="549B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9A07610">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16</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5709A08D">
            <w:pPr>
              <w:keepNext w:val="0"/>
              <w:keepLines w:val="0"/>
              <w:pageBreakBefore w:val="0"/>
              <w:widowControl/>
              <w:shd w:val="clear" w:color="auto"/>
              <w:kinsoku/>
              <w:wordWrap/>
              <w:overflowPunct/>
              <w:topLinePunct w:val="0"/>
              <w:autoSpaceDE/>
              <w:autoSpaceDN/>
              <w:bidi w:val="0"/>
              <w:adjustRightInd w:val="0"/>
              <w:snapToGrid w:val="0"/>
              <w:spacing w:after="0" w:line="360" w:lineRule="auto"/>
              <w:ind w:firstLine="0" w:firstLineChars="0"/>
              <w:jc w:val="left"/>
              <w:textAlignment w:val="auto"/>
              <w:rPr>
                <w:rFonts w:hint="eastAsia" w:ascii="宋体" w:hAnsi="宋体" w:eastAsia="宋体"/>
                <w:color w:val="auto"/>
                <w:sz w:val="24"/>
                <w:highlight w:val="none"/>
              </w:rPr>
            </w:pPr>
            <w:r>
              <w:rPr>
                <w:rFonts w:hint="eastAsia" w:ascii="宋体" w:hAnsi="宋体" w:eastAsia="宋体"/>
                <w:color w:val="auto"/>
                <w:sz w:val="24"/>
                <w:highlight w:val="none"/>
              </w:rPr>
              <w:t>履约保证金</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0DD35EC5">
            <w:pPr>
              <w:shd w:val="clear" w:color="auto"/>
              <w:spacing w:after="0" w:line="360" w:lineRule="auto"/>
              <w:rPr>
                <w:rFonts w:hint="eastAsia" w:ascii="宋体" w:hAnsi="宋体"/>
                <w:color w:val="auto"/>
                <w:sz w:val="24"/>
                <w:highlight w:val="none"/>
              </w:rPr>
            </w:pPr>
            <w:r>
              <w:rPr>
                <w:rFonts w:hint="eastAsia" w:ascii="MS Mincho" w:hAnsi="MS Mincho" w:cs="MS Mincho"/>
                <w:color w:val="auto"/>
                <w:sz w:val="24"/>
                <w:szCs w:val="24"/>
                <w:highlight w:val="none"/>
              </w:rPr>
              <w:t>□</w:t>
            </w:r>
            <w:r>
              <w:rPr>
                <w:rFonts w:hint="eastAsia" w:ascii="宋体" w:hAnsi="宋体"/>
                <w:color w:val="auto"/>
                <w:sz w:val="24"/>
                <w:highlight w:val="none"/>
              </w:rPr>
              <w:t>本项目不收取履约保证金</w:t>
            </w:r>
          </w:p>
          <w:p w14:paraId="6E4A5570">
            <w:pPr>
              <w:shd w:val="clear" w:color="auto"/>
              <w:spacing w:after="0" w:line="360" w:lineRule="auto"/>
              <w:rPr>
                <w:rFonts w:hint="eastAsia" w:ascii="宋体" w:hAnsi="宋体"/>
                <w:color w:val="auto"/>
                <w:sz w:val="24"/>
                <w:highlight w:val="none"/>
              </w:rPr>
            </w:pPr>
            <w:r>
              <w:rPr>
                <w:rFonts w:hint="eastAsia" w:ascii="宋体" w:hAnsi="宋体"/>
                <w:bCs/>
                <w:color w:val="auto"/>
                <w:sz w:val="24"/>
                <w:highlight w:val="none"/>
              </w:rPr>
              <w:t>☑</w:t>
            </w:r>
            <w:r>
              <w:rPr>
                <w:rFonts w:hint="eastAsia" w:ascii="宋体" w:hAnsi="宋体"/>
                <w:color w:val="auto"/>
                <w:sz w:val="24"/>
                <w:highlight w:val="none"/>
              </w:rPr>
              <w:t>本项目收取履约保证金</w:t>
            </w:r>
          </w:p>
          <w:p w14:paraId="28CD3C30">
            <w:pPr>
              <w:shd w:val="clear" w:color="auto"/>
              <w:spacing w:after="0" w:line="360" w:lineRule="auto"/>
              <w:ind w:firstLine="240" w:firstLineChars="100"/>
              <w:rPr>
                <w:rFonts w:hint="eastAsia" w:ascii="宋体" w:hAnsi="宋体"/>
                <w:color w:val="auto"/>
                <w:sz w:val="24"/>
                <w:highlight w:val="none"/>
              </w:rPr>
            </w:pPr>
            <w:r>
              <w:rPr>
                <w:rFonts w:hint="eastAsia" w:ascii="宋体" w:hAnsi="宋体"/>
                <w:color w:val="auto"/>
                <w:sz w:val="24"/>
                <w:highlight w:val="none"/>
              </w:rPr>
              <w:t>履约保证金金额：</w:t>
            </w:r>
            <w:r>
              <w:rPr>
                <w:rFonts w:hint="eastAsia" w:ascii="宋体" w:hAnsi="宋体"/>
                <w:color w:val="auto"/>
                <w:sz w:val="24"/>
                <w:highlight w:val="none"/>
                <w:u w:val="single"/>
              </w:rPr>
              <w:t xml:space="preserve">  合同</w:t>
            </w:r>
            <w:r>
              <w:rPr>
                <w:rFonts w:hint="eastAsia" w:ascii="宋体" w:hAnsi="宋体"/>
                <w:color w:val="auto"/>
                <w:sz w:val="24"/>
                <w:highlight w:val="none"/>
                <w:u w:val="single"/>
                <w:lang w:val="en-US" w:eastAsia="zh-CN"/>
              </w:rPr>
              <w:t>暂定</w:t>
            </w:r>
            <w:r>
              <w:rPr>
                <w:rFonts w:hint="eastAsia" w:ascii="宋体" w:hAnsi="宋体"/>
                <w:color w:val="auto"/>
                <w:sz w:val="24"/>
                <w:highlight w:val="none"/>
                <w:u w:val="single"/>
              </w:rPr>
              <w:t xml:space="preserve">总价的5%  </w:t>
            </w:r>
            <w:r>
              <w:rPr>
                <w:rFonts w:hint="eastAsia" w:ascii="宋体" w:hAnsi="宋体"/>
                <w:color w:val="auto"/>
                <w:sz w:val="24"/>
                <w:highlight w:val="none"/>
              </w:rPr>
              <w:t xml:space="preserve">。               </w:t>
            </w:r>
          </w:p>
          <w:p w14:paraId="20F10387">
            <w:pPr>
              <w:shd w:val="clear" w:color="auto"/>
              <w:spacing w:after="0" w:line="360" w:lineRule="auto"/>
              <w:ind w:firstLine="240" w:firstLineChars="100"/>
              <w:rPr>
                <w:rFonts w:hint="eastAsia" w:ascii="宋体" w:hAnsi="宋体"/>
                <w:color w:val="auto"/>
                <w:sz w:val="24"/>
                <w:highlight w:val="none"/>
              </w:rPr>
            </w:pPr>
            <w:r>
              <w:rPr>
                <w:rFonts w:hint="eastAsia" w:ascii="宋体" w:hAnsi="宋体"/>
                <w:color w:val="auto"/>
                <w:sz w:val="24"/>
                <w:highlight w:val="none"/>
              </w:rPr>
              <w:t>履约保证金递交时间：合同签订之前或同时。</w:t>
            </w:r>
          </w:p>
          <w:p w14:paraId="4D064877">
            <w:pPr>
              <w:shd w:val="clear" w:color="auto"/>
              <w:spacing w:after="0" w:line="360" w:lineRule="auto"/>
              <w:ind w:firstLine="240" w:firstLineChars="100"/>
              <w:rPr>
                <w:rFonts w:hint="eastAsia" w:ascii="宋体" w:hAnsi="宋体"/>
                <w:color w:val="auto"/>
                <w:sz w:val="24"/>
                <w:highlight w:val="none"/>
              </w:rPr>
            </w:pPr>
            <w:r>
              <w:rPr>
                <w:rFonts w:hint="eastAsia" w:ascii="宋体" w:hAnsi="宋体"/>
                <w:color w:val="auto"/>
                <w:sz w:val="24"/>
                <w:highlight w:val="none"/>
              </w:rPr>
              <w:t>履约保证金递交方式：支票、汇票、本票或者金融机构、担保机构出具的保函。</w:t>
            </w:r>
          </w:p>
          <w:p w14:paraId="3479B841">
            <w:pPr>
              <w:shd w:val="clear" w:color="auto"/>
              <w:spacing w:after="0" w:line="360" w:lineRule="auto"/>
              <w:ind w:firstLine="240" w:firstLineChars="100"/>
              <w:rPr>
                <w:rFonts w:hint="eastAsia" w:ascii="宋体" w:hAnsi="宋体"/>
                <w:color w:val="auto"/>
                <w:sz w:val="24"/>
                <w:highlight w:val="none"/>
              </w:rPr>
            </w:pPr>
            <w:r>
              <w:rPr>
                <w:rFonts w:hint="eastAsia" w:ascii="宋体" w:hAnsi="宋体"/>
                <w:color w:val="auto"/>
                <w:sz w:val="24"/>
                <w:highlight w:val="none"/>
              </w:rPr>
              <w:t>履约保证金退还时间及规定：履约保证金将在验收合格之日起十个工作日内予以退还</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如有）</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不计利息</w:t>
            </w:r>
            <w:r>
              <w:rPr>
                <w:rFonts w:hint="eastAsia" w:ascii="宋体" w:hAnsi="宋体"/>
                <w:color w:val="auto"/>
                <w:sz w:val="24"/>
                <w:highlight w:val="none"/>
              </w:rPr>
              <w:t>。</w:t>
            </w:r>
          </w:p>
          <w:p w14:paraId="4EFD2788">
            <w:pPr>
              <w:shd w:val="clear" w:color="auto"/>
              <w:spacing w:after="0" w:line="360" w:lineRule="auto"/>
              <w:rPr>
                <w:rFonts w:hint="eastAsia" w:ascii="宋体" w:hAnsi="宋体"/>
                <w:color w:val="auto"/>
                <w:sz w:val="24"/>
                <w:highlight w:val="none"/>
              </w:rPr>
            </w:pPr>
            <w:r>
              <w:rPr>
                <w:rFonts w:hint="eastAsia" w:ascii="宋体" w:hAnsi="宋体"/>
                <w:color w:val="auto"/>
                <w:sz w:val="24"/>
                <w:highlight w:val="none"/>
              </w:rPr>
              <w:t>（注：鼓励采用保函的方式递交履约保证金）</w:t>
            </w:r>
          </w:p>
          <w:p w14:paraId="04C92C5B">
            <w:pPr>
              <w:shd w:val="clear" w:color="auto"/>
              <w:spacing w:after="0" w:line="360" w:lineRule="auto"/>
              <w:ind w:firstLine="240" w:firstLineChars="100"/>
              <w:rPr>
                <w:rFonts w:hint="eastAsia" w:ascii="宋体" w:hAnsi="宋体"/>
                <w:color w:val="auto"/>
                <w:sz w:val="24"/>
                <w:highlight w:val="none"/>
              </w:rPr>
            </w:pPr>
            <w:r>
              <w:rPr>
                <w:rFonts w:hint="eastAsia" w:ascii="宋体" w:hAnsi="宋体"/>
                <w:color w:val="auto"/>
                <w:sz w:val="24"/>
                <w:highlight w:val="none"/>
              </w:rPr>
              <w:t>如果</w:t>
            </w:r>
            <w:r>
              <w:rPr>
                <w:rFonts w:hint="eastAsia" w:ascii="宋体" w:hAnsi="宋体"/>
                <w:color w:val="auto"/>
                <w:sz w:val="24"/>
                <w:highlight w:val="none"/>
                <w:lang w:eastAsia="zh-CN"/>
              </w:rPr>
              <w:t>中标人</w:t>
            </w:r>
            <w:r>
              <w:rPr>
                <w:rFonts w:hint="eastAsia" w:ascii="宋体" w:hAnsi="宋体"/>
                <w:color w:val="auto"/>
                <w:sz w:val="24"/>
                <w:highlight w:val="none"/>
              </w:rPr>
              <w:t>未能履行合同并给</w:t>
            </w:r>
            <w:r>
              <w:rPr>
                <w:rFonts w:hint="eastAsia" w:ascii="宋体" w:hAnsi="宋体"/>
                <w:color w:val="auto"/>
                <w:sz w:val="24"/>
                <w:highlight w:val="none"/>
                <w:lang w:eastAsia="zh-CN"/>
              </w:rPr>
              <w:t>招标人</w:t>
            </w:r>
            <w:r>
              <w:rPr>
                <w:rFonts w:hint="eastAsia" w:ascii="宋体" w:hAnsi="宋体"/>
                <w:color w:val="auto"/>
                <w:sz w:val="24"/>
                <w:highlight w:val="none"/>
              </w:rPr>
              <w:t>造成损失，</w:t>
            </w:r>
            <w:r>
              <w:rPr>
                <w:rFonts w:hint="eastAsia" w:ascii="宋体" w:hAnsi="宋体"/>
                <w:color w:val="auto"/>
                <w:sz w:val="24"/>
                <w:highlight w:val="none"/>
                <w:lang w:eastAsia="zh-CN"/>
              </w:rPr>
              <w:t>招标人</w:t>
            </w:r>
            <w:r>
              <w:rPr>
                <w:rFonts w:hint="eastAsia" w:ascii="宋体" w:hAnsi="宋体"/>
                <w:color w:val="auto"/>
                <w:sz w:val="24"/>
                <w:highlight w:val="none"/>
              </w:rPr>
              <w:t>有权扣除</w:t>
            </w:r>
            <w:r>
              <w:rPr>
                <w:rFonts w:hint="eastAsia" w:ascii="宋体" w:hAnsi="宋体"/>
                <w:color w:val="auto"/>
                <w:sz w:val="24"/>
                <w:highlight w:val="none"/>
                <w:lang w:eastAsia="zh-CN"/>
              </w:rPr>
              <w:t>中标人</w:t>
            </w:r>
            <w:r>
              <w:rPr>
                <w:rFonts w:hint="eastAsia" w:ascii="宋体" w:hAnsi="宋体"/>
                <w:color w:val="auto"/>
                <w:sz w:val="24"/>
                <w:highlight w:val="none"/>
              </w:rPr>
              <w:t>的履约保证金，如不足以弥补</w:t>
            </w:r>
            <w:r>
              <w:rPr>
                <w:rFonts w:hint="eastAsia" w:ascii="宋体" w:hAnsi="宋体"/>
                <w:color w:val="auto"/>
                <w:sz w:val="24"/>
                <w:highlight w:val="none"/>
                <w:lang w:eastAsia="zh-CN"/>
              </w:rPr>
              <w:t>招标人</w:t>
            </w:r>
            <w:r>
              <w:rPr>
                <w:rFonts w:hint="eastAsia" w:ascii="宋体" w:hAnsi="宋体"/>
                <w:color w:val="auto"/>
                <w:sz w:val="24"/>
                <w:highlight w:val="none"/>
              </w:rPr>
              <w:t>的损失，</w:t>
            </w:r>
            <w:r>
              <w:rPr>
                <w:rFonts w:hint="eastAsia" w:ascii="宋体" w:hAnsi="宋体"/>
                <w:color w:val="auto"/>
                <w:sz w:val="24"/>
                <w:highlight w:val="none"/>
                <w:lang w:eastAsia="zh-CN"/>
              </w:rPr>
              <w:t>招标人</w:t>
            </w:r>
            <w:r>
              <w:rPr>
                <w:rFonts w:hint="eastAsia" w:ascii="宋体" w:hAnsi="宋体"/>
                <w:color w:val="auto"/>
                <w:sz w:val="24"/>
                <w:highlight w:val="none"/>
              </w:rPr>
              <w:t>有权继续追偿。如因</w:t>
            </w:r>
            <w:r>
              <w:rPr>
                <w:rFonts w:hint="eastAsia" w:ascii="宋体" w:hAnsi="宋体"/>
                <w:color w:val="auto"/>
                <w:sz w:val="24"/>
                <w:highlight w:val="none"/>
                <w:lang w:eastAsia="zh-CN"/>
              </w:rPr>
              <w:t>中标人</w:t>
            </w:r>
            <w:r>
              <w:rPr>
                <w:rFonts w:hint="eastAsia" w:ascii="宋体" w:hAnsi="宋体"/>
                <w:color w:val="auto"/>
                <w:sz w:val="24"/>
                <w:highlight w:val="none"/>
              </w:rPr>
              <w:t>原因导致本合同解除的（包括但不限于</w:t>
            </w:r>
            <w:r>
              <w:rPr>
                <w:rFonts w:hint="eastAsia" w:ascii="宋体" w:hAnsi="宋体"/>
                <w:color w:val="auto"/>
                <w:sz w:val="24"/>
                <w:highlight w:val="none"/>
                <w:lang w:eastAsia="zh-CN"/>
              </w:rPr>
              <w:t>招标人</w:t>
            </w:r>
            <w:r>
              <w:rPr>
                <w:rFonts w:hint="eastAsia" w:ascii="宋体" w:hAnsi="宋体"/>
                <w:color w:val="auto"/>
                <w:sz w:val="24"/>
                <w:highlight w:val="none"/>
              </w:rPr>
              <w:t>因</w:t>
            </w:r>
            <w:r>
              <w:rPr>
                <w:rFonts w:hint="eastAsia" w:ascii="宋体" w:hAnsi="宋体"/>
                <w:color w:val="auto"/>
                <w:sz w:val="24"/>
                <w:highlight w:val="none"/>
                <w:lang w:eastAsia="zh-CN"/>
              </w:rPr>
              <w:t>中标人</w:t>
            </w:r>
            <w:r>
              <w:rPr>
                <w:rFonts w:hint="eastAsia" w:ascii="宋体" w:hAnsi="宋体"/>
                <w:color w:val="auto"/>
                <w:sz w:val="24"/>
                <w:highlight w:val="none"/>
              </w:rPr>
              <w:t>违约等</w:t>
            </w:r>
            <w:r>
              <w:rPr>
                <w:rFonts w:hint="eastAsia" w:ascii="宋体" w:hAnsi="宋体"/>
                <w:color w:val="auto"/>
                <w:sz w:val="24"/>
                <w:highlight w:val="none"/>
                <w:lang w:eastAsia="zh-CN"/>
              </w:rPr>
              <w:t>中标人</w:t>
            </w:r>
            <w:r>
              <w:rPr>
                <w:rFonts w:hint="eastAsia" w:ascii="宋体" w:hAnsi="宋体"/>
                <w:color w:val="auto"/>
                <w:sz w:val="24"/>
                <w:highlight w:val="none"/>
              </w:rPr>
              <w:t>原因解除合同或</w:t>
            </w:r>
            <w:r>
              <w:rPr>
                <w:rFonts w:hint="eastAsia" w:ascii="宋体" w:hAnsi="宋体"/>
                <w:color w:val="auto"/>
                <w:sz w:val="24"/>
                <w:highlight w:val="none"/>
                <w:lang w:eastAsia="zh-CN"/>
              </w:rPr>
              <w:t>中标人</w:t>
            </w:r>
            <w:r>
              <w:rPr>
                <w:rFonts w:hint="eastAsia" w:ascii="宋体" w:hAnsi="宋体"/>
                <w:color w:val="auto"/>
                <w:sz w:val="24"/>
                <w:highlight w:val="none"/>
              </w:rPr>
              <w:t>擅自解除合同等），</w:t>
            </w:r>
            <w:r>
              <w:rPr>
                <w:rFonts w:hint="eastAsia" w:ascii="宋体" w:hAnsi="宋体"/>
                <w:color w:val="auto"/>
                <w:sz w:val="24"/>
                <w:highlight w:val="none"/>
                <w:lang w:eastAsia="zh-CN"/>
              </w:rPr>
              <w:t>招标人</w:t>
            </w:r>
            <w:r>
              <w:rPr>
                <w:rFonts w:hint="eastAsia" w:ascii="宋体" w:hAnsi="宋体"/>
                <w:color w:val="auto"/>
                <w:sz w:val="24"/>
                <w:highlight w:val="none"/>
              </w:rPr>
              <w:t>有权扣除全部履约保证金，不再退还给</w:t>
            </w:r>
            <w:r>
              <w:rPr>
                <w:rFonts w:hint="eastAsia" w:ascii="宋体" w:hAnsi="宋体"/>
                <w:color w:val="auto"/>
                <w:sz w:val="24"/>
                <w:highlight w:val="none"/>
                <w:lang w:eastAsia="zh-CN"/>
              </w:rPr>
              <w:t>中标人</w:t>
            </w:r>
            <w:r>
              <w:rPr>
                <w:rFonts w:hint="eastAsia" w:ascii="宋体" w:hAnsi="宋体"/>
                <w:color w:val="auto"/>
                <w:sz w:val="24"/>
                <w:highlight w:val="none"/>
              </w:rPr>
              <w:t>。</w:t>
            </w:r>
          </w:p>
        </w:tc>
      </w:tr>
      <w:tr w14:paraId="2748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6434D15">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17</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08564522">
            <w:pPr>
              <w:shd w:val="clear" w:color="auto"/>
              <w:spacing w:after="0" w:line="360" w:lineRule="auto"/>
              <w:ind w:firstLine="240" w:firstLineChars="100"/>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合同形式</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6DAE740D">
            <w:pPr>
              <w:shd w:val="clear" w:color="auto"/>
              <w:spacing w:after="0" w:line="360" w:lineRule="auto"/>
              <w:ind w:firstLine="240" w:firstLineChars="100"/>
              <w:rPr>
                <w:rFonts w:hint="eastAsia" w:ascii="宋体" w:hAnsi="宋体" w:eastAsia="宋体"/>
                <w:color w:val="auto"/>
                <w:sz w:val="24"/>
                <w:highlight w:val="none"/>
                <w:lang w:eastAsia="zh-CN"/>
              </w:rPr>
            </w:pPr>
            <w:r>
              <w:rPr>
                <w:rFonts w:hint="eastAsia" w:ascii="宋体" w:hAnsi="宋体" w:eastAsia="宋体"/>
                <w:color w:val="auto"/>
                <w:sz w:val="24"/>
                <w:highlight w:val="none"/>
                <w:lang w:eastAsia="zh-CN"/>
              </w:rPr>
              <w:t>运行巡检部分(固定总价合同)</w:t>
            </w:r>
          </w:p>
          <w:p w14:paraId="43215DE9">
            <w:pPr>
              <w:shd w:val="clear" w:color="auto"/>
              <w:spacing w:after="0" w:line="360" w:lineRule="auto"/>
              <w:ind w:firstLine="240" w:firstLineChars="100"/>
              <w:rPr>
                <w:rFonts w:hint="eastAsia" w:ascii="宋体" w:hAnsi="宋体" w:eastAsia="宋体"/>
                <w:color w:val="auto"/>
                <w:sz w:val="24"/>
                <w:highlight w:val="none"/>
              </w:rPr>
            </w:pPr>
            <w:r>
              <w:rPr>
                <w:rFonts w:hint="eastAsia" w:ascii="宋体" w:hAnsi="宋体" w:eastAsia="宋体"/>
                <w:color w:val="auto"/>
                <w:sz w:val="24"/>
                <w:highlight w:val="none"/>
              </w:rPr>
              <w:t>设备维修更换部分(固定单价合同)</w:t>
            </w:r>
          </w:p>
          <w:p w14:paraId="3D60AFF8">
            <w:pPr>
              <w:pStyle w:val="2"/>
              <w:shd w:val="clear"/>
              <w:spacing w:line="360" w:lineRule="auto"/>
              <w:rPr>
                <w:rFonts w:hint="eastAsia" w:eastAsia="宋体"/>
                <w:color w:val="auto"/>
                <w:highlight w:val="none"/>
                <w:lang w:val="en-US" w:eastAsia="zh-CN"/>
              </w:rPr>
            </w:pPr>
            <w:r>
              <w:rPr>
                <w:rFonts w:hint="eastAsia"/>
                <w:color w:val="auto"/>
                <w:sz w:val="24"/>
                <w:highlight w:val="none"/>
                <w:lang w:val="en-US" w:eastAsia="zh-CN"/>
              </w:rPr>
              <w:t>注：对灯光音乐喷泉日常的喷放运行、喷泉设备设施巡检保养部分采用固定总价合同；设备的维修更换部分采用固定单价合同。年度总费用不得超过48万元，超过48万元按照48万元结算。</w:t>
            </w:r>
          </w:p>
        </w:tc>
      </w:tr>
      <w:tr w14:paraId="5128B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6D36F41">
            <w:pPr>
              <w:shd w:val="clear"/>
              <w:spacing w:after="0" w:line="360" w:lineRule="auto"/>
              <w:ind w:right="-2"/>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18</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5D94E13E">
            <w:pPr>
              <w:shd w:val="clear" w:color="auto"/>
              <w:spacing w:after="0" w:line="360" w:lineRule="auto"/>
              <w:ind w:firstLine="240" w:firstLineChars="100"/>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报价要求</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203CBE70">
            <w:pPr>
              <w:shd w:val="clear" w:color="auto"/>
              <w:spacing w:after="0" w:line="360" w:lineRule="auto"/>
              <w:rPr>
                <w:rFonts w:hint="eastAsia"/>
                <w:sz w:val="24"/>
                <w:szCs w:val="24"/>
                <w:highlight w:val="none"/>
                <w:lang w:eastAsia="zh-CN"/>
              </w:rPr>
            </w:pPr>
            <w:r>
              <w:rPr>
                <w:rFonts w:hint="eastAsia"/>
                <w:sz w:val="24"/>
                <w:szCs w:val="24"/>
                <w:highlight w:val="none"/>
                <w:lang w:eastAsia="zh-CN"/>
              </w:rPr>
              <w:t>1.投标人报价应是为实现合同目的所涉及的所有费用，包括但不仅限于服务期内完成所有运维服务并经招标人验收合格等所需人员、机械、设备、耗材、企业管理费、利润、税金、各种保险等全部费用。除此之外，招标人不再向投标人或者第三人支付其他任何费用。</w:t>
            </w:r>
          </w:p>
          <w:p w14:paraId="0B0DEF5B">
            <w:pPr>
              <w:shd w:val="clear" w:color="auto"/>
              <w:spacing w:after="0" w:line="360" w:lineRule="auto"/>
              <w:rPr>
                <w:rFonts w:hint="eastAsia"/>
                <w:sz w:val="24"/>
                <w:szCs w:val="24"/>
                <w:highlight w:val="none"/>
                <w:lang w:eastAsia="zh-CN"/>
              </w:rPr>
            </w:pPr>
            <w:r>
              <w:rPr>
                <w:rFonts w:hint="eastAsia"/>
                <w:sz w:val="24"/>
                <w:szCs w:val="24"/>
                <w:highlight w:val="none"/>
                <w:lang w:eastAsia="zh-CN"/>
              </w:rPr>
              <w:t>2.投标报价表中标明的价格在合同执行过程中是固定不变的，不得以任何理由予以变更。投标人在报价时应充分考虑本次招标的各种风险（包括漏项风险），在合同执行期间中标价不再实行政策性调整和变动。</w:t>
            </w:r>
          </w:p>
          <w:p w14:paraId="218B648B">
            <w:pPr>
              <w:pStyle w:val="2"/>
              <w:shd w:val="clear"/>
              <w:spacing w:line="360" w:lineRule="auto"/>
              <w:ind w:left="240" w:hanging="240" w:hangingChars="100"/>
              <w:rPr>
                <w:rFonts w:hint="default"/>
                <w:sz w:val="24"/>
                <w:szCs w:val="24"/>
                <w:highlight w:val="none"/>
                <w:lang w:val="en-US" w:eastAsia="zh-CN"/>
              </w:rPr>
            </w:pPr>
            <w:r>
              <w:rPr>
                <w:rFonts w:hint="eastAsia"/>
                <w:color w:val="auto"/>
                <w:sz w:val="24"/>
                <w:szCs w:val="24"/>
                <w:highlight w:val="none"/>
                <w:lang w:val="en-US" w:eastAsia="zh-CN"/>
              </w:rPr>
              <w:t>3.设备维修更换工程量为预估数量。设备维修更换前，中标人应向招标人书面提交维修更换清单，经招标人同意并双方签字盖章后，方可实施。中标人不得因设备维修更换数量增加或减少而调整中标综合单价。</w:t>
            </w:r>
          </w:p>
        </w:tc>
      </w:tr>
      <w:tr w14:paraId="445A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709" w:type="dxa"/>
            <w:tcBorders>
              <w:top w:val="single" w:color="auto" w:sz="4" w:space="0"/>
              <w:left w:val="single" w:color="auto" w:sz="4" w:space="0"/>
              <w:bottom w:val="single" w:color="auto" w:sz="4" w:space="0"/>
              <w:right w:val="single" w:color="auto" w:sz="4" w:space="0"/>
            </w:tcBorders>
            <w:vAlign w:val="center"/>
          </w:tcPr>
          <w:p w14:paraId="2080723F">
            <w:pPr>
              <w:shd w:val="clear"/>
              <w:spacing w:after="0" w:line="360" w:lineRule="auto"/>
              <w:ind w:right="-2"/>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19</w:t>
            </w:r>
          </w:p>
        </w:tc>
        <w:tc>
          <w:tcPr>
            <w:tcW w:w="1541" w:type="dxa"/>
            <w:tcBorders>
              <w:top w:val="single" w:color="auto" w:sz="4" w:space="0"/>
              <w:left w:val="single" w:color="auto" w:sz="4" w:space="0"/>
              <w:bottom w:val="single" w:color="auto" w:sz="4" w:space="0"/>
              <w:right w:val="single" w:color="auto" w:sz="4" w:space="0"/>
            </w:tcBorders>
            <w:vAlign w:val="center"/>
          </w:tcPr>
          <w:p w14:paraId="20016367">
            <w:pPr>
              <w:shd w:val="clear"/>
              <w:spacing w:after="0" w:line="360" w:lineRule="auto"/>
              <w:jc w:val="center"/>
              <w:rPr>
                <w:rFonts w:hint="eastAsia" w:ascii="宋体" w:hAnsi="宋体"/>
                <w:color w:val="auto"/>
                <w:sz w:val="24"/>
                <w:highlight w:val="none"/>
              </w:rPr>
            </w:pPr>
            <w:r>
              <w:rPr>
                <w:rFonts w:hint="eastAsia" w:ascii="宋体" w:hAnsi="宋体"/>
                <w:color w:val="auto"/>
                <w:sz w:val="24"/>
                <w:highlight w:val="none"/>
              </w:rPr>
              <w:t>其他要求</w:t>
            </w:r>
          </w:p>
        </w:tc>
        <w:tc>
          <w:tcPr>
            <w:tcW w:w="6681" w:type="dxa"/>
            <w:tcBorders>
              <w:top w:val="single" w:color="auto" w:sz="4" w:space="0"/>
              <w:left w:val="single" w:color="auto" w:sz="4" w:space="0"/>
              <w:bottom w:val="single" w:color="auto" w:sz="4" w:space="0"/>
              <w:right w:val="single" w:color="auto" w:sz="4" w:space="0"/>
            </w:tcBorders>
            <w:vAlign w:val="center"/>
          </w:tcPr>
          <w:p w14:paraId="17C66E78">
            <w:pPr>
              <w:shd w:val="clear"/>
              <w:spacing w:after="0" w:line="360" w:lineRule="auto"/>
              <w:jc w:val="both"/>
              <w:rPr>
                <w:rFonts w:hint="eastAsia" w:ascii="宋体" w:hAnsi="宋体"/>
                <w:color w:val="auto"/>
                <w:sz w:val="24"/>
                <w:highlight w:val="none"/>
              </w:rPr>
            </w:pPr>
            <w:r>
              <w:rPr>
                <w:rFonts w:hint="eastAsia" w:ascii="宋体" w:hAnsi="宋体"/>
                <w:color w:val="auto"/>
                <w:sz w:val="24"/>
                <w:highlight w:val="none"/>
              </w:rPr>
              <w:t>1.</w:t>
            </w:r>
            <w:r>
              <w:rPr>
                <w:rFonts w:hint="eastAsia" w:ascii="宋体" w:hAnsi="Calibri" w:cs="Times New Roman"/>
                <w:color w:val="auto"/>
                <w:kern w:val="2"/>
                <w:sz w:val="24"/>
                <w:szCs w:val="24"/>
                <w:highlight w:val="none"/>
              </w:rPr>
              <w:t>投标文件格式中要求的法定代表人和被授权人签字，必须是亲笔签名；法定代表人盖章和供应商公章，必须是经公安部门备案的印章。不得使用其他印章或电子章、电子制版签名，否则视为投标文件无效。</w:t>
            </w:r>
          </w:p>
          <w:p w14:paraId="390AA3B9">
            <w:pPr>
              <w:shd w:val="clear"/>
              <w:spacing w:after="0" w:line="360" w:lineRule="auto"/>
              <w:jc w:val="both"/>
              <w:rPr>
                <w:rFonts w:ascii="宋体" w:hAnsi="Calibri" w:cs="Times New Roman"/>
                <w:color w:val="auto"/>
                <w:kern w:val="2"/>
                <w:sz w:val="24"/>
                <w:szCs w:val="24"/>
                <w:highlight w:val="none"/>
              </w:rPr>
            </w:pPr>
            <w:r>
              <w:rPr>
                <w:rFonts w:hint="eastAsia" w:ascii="宋体" w:hAnsi="Calibri" w:cs="Times New Roman"/>
                <w:color w:val="auto"/>
                <w:kern w:val="2"/>
                <w:sz w:val="24"/>
                <w:szCs w:val="24"/>
                <w:highlight w:val="none"/>
              </w:rPr>
              <w:t>2.投标人如为非法人组织或自然人，招标文件中提到的“法定代表人”即视为非法人组织负责人或自然人本人，投标文件格式中要求的“法定代表人签字或盖章”可由非法人组织负责人或自然人本人签字或盖章（签字、盖章要求同第一条）；投标人如为自然人，投标文件格式中要求的“投标人公章”可删除。</w:t>
            </w:r>
          </w:p>
          <w:p w14:paraId="5D03D3F6">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color w:val="auto"/>
                <w:sz w:val="24"/>
                <w:highlight w:val="none"/>
              </w:rPr>
            </w:pPr>
            <w:r>
              <w:rPr>
                <w:rFonts w:hint="eastAsia" w:ascii="宋体" w:hAnsi="Calibri" w:cs="Times New Roman"/>
                <w:color w:val="auto"/>
                <w:kern w:val="2"/>
                <w:sz w:val="24"/>
                <w:szCs w:val="24"/>
                <w:highlight w:val="none"/>
              </w:rPr>
              <w:t>3.</w:t>
            </w:r>
            <w:r>
              <w:rPr>
                <w:rFonts w:hint="eastAsia" w:ascii="宋体" w:hAnsi="宋体" w:cs="宋体"/>
                <w:color w:val="auto"/>
                <w:sz w:val="24"/>
                <w:highlight w:val="none"/>
              </w:rPr>
              <w:t xml:space="preserve"> 平台使用费：人民币300元（说明：每家投标人在下载采购文件前，须网银公对公缴纳平台服务费，该费用一经支付平台即开始履行服务，与是否下载采购文件无关、与是否实际参与本项目无关，平台服务费支付后不予退还，同一投标人参加同一标项项目仅需支付一次平台服务费，如有特殊情况无法用对公账户进行支付时，请及时与平台联系0411-65851265），付款信息如下：</w:t>
            </w:r>
          </w:p>
          <w:p w14:paraId="058E1154">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color w:val="auto"/>
                <w:sz w:val="24"/>
                <w:highlight w:val="none"/>
              </w:rPr>
            </w:pPr>
            <w:r>
              <w:rPr>
                <w:rFonts w:hint="eastAsia" w:ascii="宋体" w:hAnsi="宋体" w:cs="宋体"/>
                <w:color w:val="auto"/>
                <w:sz w:val="24"/>
                <w:highlight w:val="none"/>
              </w:rPr>
              <w:t>户名：大连阳光采购服务有限公司</w:t>
            </w:r>
          </w:p>
          <w:p w14:paraId="4B63AD27">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color w:val="auto"/>
                <w:sz w:val="24"/>
                <w:highlight w:val="none"/>
              </w:rPr>
            </w:pPr>
            <w:r>
              <w:rPr>
                <w:rFonts w:hint="eastAsia" w:ascii="宋体" w:hAnsi="宋体" w:cs="宋体"/>
                <w:color w:val="auto"/>
                <w:sz w:val="24"/>
                <w:highlight w:val="none"/>
              </w:rPr>
              <w:t>账号：810024000001105</w:t>
            </w:r>
          </w:p>
          <w:p w14:paraId="38DBA011">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color w:val="auto"/>
                <w:sz w:val="24"/>
                <w:highlight w:val="none"/>
              </w:rPr>
            </w:pPr>
            <w:r>
              <w:rPr>
                <w:rFonts w:hint="eastAsia" w:ascii="宋体" w:hAnsi="宋体" w:cs="宋体"/>
                <w:color w:val="auto"/>
                <w:sz w:val="24"/>
                <w:highlight w:val="none"/>
              </w:rPr>
              <w:t>开户银行：大连银行股份有限公司营业部</w:t>
            </w:r>
          </w:p>
          <w:p w14:paraId="015CBC53">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color w:val="auto"/>
                <w:sz w:val="24"/>
                <w:highlight w:val="none"/>
              </w:rPr>
            </w:pPr>
            <w:r>
              <w:rPr>
                <w:rFonts w:hint="eastAsia" w:ascii="宋体" w:hAnsi="宋体" w:cs="宋体"/>
                <w:color w:val="auto"/>
                <w:sz w:val="24"/>
                <w:highlight w:val="none"/>
              </w:rPr>
              <w:t>开户行行号：313222081005</w:t>
            </w:r>
          </w:p>
          <w:p w14:paraId="44A7B805">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4"/>
                <w:highlight w:val="none"/>
              </w:rPr>
            </w:pPr>
            <w:r>
              <w:rPr>
                <w:rFonts w:hint="eastAsia" w:ascii="宋体" w:hAnsi="宋体" w:cs="宋体"/>
                <w:color w:val="auto"/>
                <w:sz w:val="24"/>
                <w:highlight w:val="none"/>
              </w:rPr>
              <w:t>备注：须在下载文件前对公付款并明确备注项目编号</w:t>
            </w:r>
          </w:p>
          <w:p w14:paraId="298800C6">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投标人在大连市政府采购网已办理的汇信、天谷及辽宁CA均可通用，无需重复办理。未办理过上述CA的投标人，须申请CA用于制作响应文件。。</w:t>
            </w:r>
          </w:p>
          <w:p w14:paraId="44F75420">
            <w:pPr>
              <w:keepNext w:val="0"/>
              <w:keepLines w:val="0"/>
              <w:pageBreakBefore w:val="0"/>
              <w:widowControl/>
              <w:shd w:val="clear"/>
              <w:kinsoku/>
              <w:wordWrap/>
              <w:overflowPunct/>
              <w:topLinePunct w:val="0"/>
              <w:autoSpaceDE/>
              <w:autoSpaceDN/>
              <w:bidi w:val="0"/>
              <w:adjustRightInd w:val="0"/>
              <w:snapToGrid w:val="0"/>
              <w:spacing w:after="0" w:line="360" w:lineRule="auto"/>
              <w:jc w:val="both"/>
              <w:textAlignment w:val="auto"/>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rPr>
              <w:t>4.</w:t>
            </w:r>
            <w:r>
              <w:rPr>
                <w:rFonts w:hint="eastAsia" w:ascii="宋体" w:hAnsi="宋体"/>
                <w:b/>
                <w:color w:val="auto"/>
                <w:sz w:val="24"/>
                <w:highlight w:val="none"/>
              </w:rPr>
              <w:t>评标委员会认为投标人的报价明显低于其他通过符合性审查投标人报价，有可能影响产品质量或者不能诚信履约的，将要求其在评标现场合理的时间内提供书面说明，必要时提交相关证明材料；投标人不能证明其报价合理性的，评标委员将其作为无效投标处理。</w:t>
            </w:r>
          </w:p>
          <w:p w14:paraId="394FF89A">
            <w:pPr>
              <w:shd w:val="clear"/>
              <w:tabs>
                <w:tab w:val="left" w:pos="4045"/>
              </w:tabs>
              <w:spacing w:after="0" w:line="360" w:lineRule="auto"/>
              <w:jc w:val="both"/>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rPr>
              <w:t>5.未响应“★”号条款的投标文件为无效。招标文件的技术和商务条款中未标记“★”号的为非实质性要求，未响应非实质性要求的投标文件仍为有效，但可能影响评分。</w:t>
            </w:r>
          </w:p>
        </w:tc>
      </w:tr>
    </w:tbl>
    <w:p w14:paraId="7E234754">
      <w:pPr>
        <w:shd w:val="clear"/>
        <w:spacing w:after="0" w:line="336" w:lineRule="auto"/>
        <w:ind w:right="-2"/>
        <w:rPr>
          <w:rFonts w:hint="eastAsia" w:asciiTheme="minorEastAsia" w:hAnsiTheme="minorEastAsia" w:eastAsiaTheme="minorEastAsia"/>
          <w:b/>
          <w:bCs/>
          <w:color w:val="auto"/>
          <w:sz w:val="24"/>
          <w:szCs w:val="24"/>
          <w:highlight w:val="none"/>
        </w:rPr>
      </w:pPr>
      <w:r>
        <w:rPr>
          <w:rFonts w:hint="eastAsia" w:ascii="宋体" w:hAnsi="宋体" w:cs="仿宋_GB2312"/>
          <w:color w:val="auto"/>
          <w:sz w:val="24"/>
          <w:highlight w:val="none"/>
        </w:rPr>
        <w:t>注：表格中“</w:t>
      </w:r>
      <w:r>
        <w:rPr>
          <w:rFonts w:hint="eastAsia" w:ascii="MS Mincho" w:hAnsi="MS Mincho" w:eastAsia="MS Mincho" w:cs="MS Mincho"/>
          <w:color w:val="auto"/>
          <w:sz w:val="24"/>
          <w:highlight w:val="none"/>
        </w:rPr>
        <w:t>☑</w:t>
      </w:r>
      <w:r>
        <w:rPr>
          <w:rFonts w:hint="eastAsia" w:ascii="宋体" w:hAnsi="宋体" w:cs="仿宋_GB2312"/>
          <w:color w:val="auto"/>
          <w:sz w:val="24"/>
          <w:highlight w:val="none"/>
        </w:rPr>
        <w:t>”项为被选中项。</w:t>
      </w:r>
    </w:p>
    <w:p w14:paraId="0AB283EC">
      <w:pPr>
        <w:shd w:val="clear"/>
        <w:spacing w:after="0" w:line="336" w:lineRule="auto"/>
        <w:ind w:right="-2"/>
        <w:jc w:val="center"/>
        <w:rPr>
          <w:rFonts w:hint="eastAsia" w:ascii="宋体" w:hAnsi="宋体"/>
          <w:b/>
          <w:bCs/>
          <w:color w:val="auto"/>
          <w:sz w:val="44"/>
          <w:szCs w:val="44"/>
          <w:highlight w:val="none"/>
        </w:rPr>
      </w:pPr>
      <w:r>
        <w:rPr>
          <w:rFonts w:ascii="宋体" w:hAnsi="宋体"/>
          <w:b/>
          <w:bCs/>
          <w:color w:val="auto"/>
          <w:sz w:val="44"/>
          <w:szCs w:val="44"/>
          <w:highlight w:val="none"/>
        </w:rPr>
        <w:br w:type="page"/>
      </w:r>
      <w:r>
        <w:rPr>
          <w:rFonts w:hint="eastAsia" w:ascii="宋体" w:hAnsi="宋体"/>
          <w:b/>
          <w:bCs/>
          <w:color w:val="auto"/>
          <w:sz w:val="44"/>
          <w:szCs w:val="44"/>
          <w:highlight w:val="none"/>
        </w:rPr>
        <w:t>投标人须知</w:t>
      </w:r>
    </w:p>
    <w:p w14:paraId="6DB8BA3F">
      <w:pPr>
        <w:shd w:val="clear"/>
        <w:spacing w:after="0" w:line="360" w:lineRule="auto"/>
        <w:ind w:right="-2" w:firstLine="354" w:firstLineChars="98"/>
        <w:jc w:val="center"/>
        <w:outlineLvl w:val="0"/>
        <w:rPr>
          <w:rFonts w:hint="eastAsia" w:ascii="宋体" w:hAnsi="宋体"/>
          <w:b/>
          <w:bCs/>
          <w:color w:val="auto"/>
          <w:sz w:val="36"/>
          <w:szCs w:val="36"/>
          <w:highlight w:val="none"/>
        </w:rPr>
      </w:pPr>
      <w:r>
        <w:rPr>
          <w:rFonts w:hint="eastAsia" w:ascii="宋体" w:hAnsi="宋体"/>
          <w:b/>
          <w:bCs/>
          <w:color w:val="auto"/>
          <w:sz w:val="36"/>
          <w:szCs w:val="36"/>
          <w:highlight w:val="none"/>
        </w:rPr>
        <w:t>一、总  则</w:t>
      </w:r>
    </w:p>
    <w:p w14:paraId="1CD039FD">
      <w:pPr>
        <w:shd w:val="clear"/>
        <w:spacing w:after="0" w:line="360" w:lineRule="auto"/>
        <w:ind w:right="-2" w:firstLine="357" w:firstLineChars="148"/>
        <w:outlineLvl w:val="0"/>
        <w:rPr>
          <w:rFonts w:hint="eastAsia" w:ascii="宋体" w:hAnsi="宋体"/>
          <w:b/>
          <w:bCs/>
          <w:color w:val="auto"/>
          <w:sz w:val="28"/>
          <w:szCs w:val="28"/>
          <w:highlight w:val="none"/>
        </w:rPr>
      </w:pPr>
      <w:r>
        <w:rPr>
          <w:rFonts w:hint="eastAsia" w:ascii="宋体" w:hAnsi="宋体"/>
          <w:b/>
          <w:bCs/>
          <w:color w:val="auto"/>
          <w:sz w:val="24"/>
          <w:highlight w:val="none"/>
        </w:rPr>
        <w:t>（一）项目概述及资金来源</w:t>
      </w:r>
    </w:p>
    <w:p w14:paraId="751CBF1B">
      <w:pPr>
        <w:shd w:val="clear"/>
        <w:tabs>
          <w:tab w:val="left" w:pos="420"/>
        </w:tabs>
        <w:spacing w:after="0" w:line="360" w:lineRule="auto"/>
        <w:ind w:right="-2" w:firstLine="480" w:firstLineChars="200"/>
        <w:rPr>
          <w:rFonts w:hint="eastAsia" w:ascii="宋体" w:hAnsi="宋体" w:cs="宋体"/>
          <w:color w:val="auto"/>
          <w:sz w:val="24"/>
          <w:highlight w:val="none"/>
        </w:rPr>
      </w:pPr>
      <w:r>
        <w:rPr>
          <w:rFonts w:hint="eastAsia" w:ascii="宋体" w:hAnsi="宋体"/>
          <w:color w:val="auto"/>
          <w:sz w:val="24"/>
          <w:highlight w:val="none"/>
        </w:rPr>
        <w:t>1.本项目参照《中华人民共和国政府采购法》、《政府采购货物和服务招标投标管理办法》的有关规定，</w:t>
      </w:r>
      <w:r>
        <w:rPr>
          <w:rFonts w:hint="eastAsia" w:ascii="宋体" w:hAnsi="宋体"/>
          <w:color w:val="auto"/>
          <w:spacing w:val="-2"/>
          <w:kern w:val="21"/>
          <w:sz w:val="24"/>
          <w:szCs w:val="21"/>
          <w:highlight w:val="none"/>
        </w:rPr>
        <w:t>实行国内公开招标</w:t>
      </w:r>
      <w:r>
        <w:rPr>
          <w:rFonts w:hint="eastAsia" w:ascii="宋体" w:hAnsi="宋体" w:cs="宋体"/>
          <w:color w:val="auto"/>
          <w:sz w:val="24"/>
          <w:highlight w:val="none"/>
        </w:rPr>
        <w:t>。</w:t>
      </w:r>
    </w:p>
    <w:p w14:paraId="673EEB94">
      <w:pPr>
        <w:shd w:val="clear"/>
        <w:tabs>
          <w:tab w:val="left" w:pos="420"/>
        </w:tabs>
        <w:spacing w:after="0" w:line="360" w:lineRule="auto"/>
        <w:ind w:right="-2" w:firstLine="480" w:firstLineChars="200"/>
        <w:rPr>
          <w:rFonts w:hint="eastAsia" w:ascii="宋体" w:hAnsi="宋体"/>
          <w:color w:val="auto"/>
          <w:sz w:val="24"/>
          <w:szCs w:val="21"/>
          <w:highlight w:val="none"/>
        </w:rPr>
      </w:pPr>
      <w:r>
        <w:rPr>
          <w:rFonts w:hint="eastAsia" w:ascii="宋体" w:hAnsi="宋体"/>
          <w:color w:val="auto"/>
          <w:sz w:val="24"/>
          <w:szCs w:val="28"/>
          <w:highlight w:val="none"/>
        </w:rPr>
        <w:t>（1）</w:t>
      </w:r>
      <w:r>
        <w:rPr>
          <w:rFonts w:hint="eastAsia" w:ascii="宋体" w:hAnsi="宋体"/>
          <w:bCs/>
          <w:color w:val="auto"/>
          <w:sz w:val="24"/>
          <w:highlight w:val="none"/>
        </w:rPr>
        <w:t>招标人名称：</w:t>
      </w:r>
      <w:r>
        <w:rPr>
          <w:rFonts w:hint="eastAsia" w:ascii="宋体" w:hAnsi="宋体"/>
          <w:color w:val="auto"/>
          <w:sz w:val="24"/>
          <w:highlight w:val="none"/>
        </w:rPr>
        <w:t>大连东港商务区开发建设管理集团有限公司</w:t>
      </w:r>
    </w:p>
    <w:p w14:paraId="0AB29587">
      <w:pPr>
        <w:shd w:val="clear"/>
        <w:tabs>
          <w:tab w:val="left" w:pos="84"/>
        </w:tabs>
        <w:spacing w:after="0" w:line="360" w:lineRule="auto"/>
        <w:ind w:right="-2"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（2）本次招标的内容为：</w:t>
      </w:r>
      <w:r>
        <w:rPr>
          <w:rFonts w:hint="eastAsia" w:ascii="宋体" w:hAnsi="宋体"/>
          <w:bCs/>
          <w:color w:val="auto"/>
          <w:sz w:val="24"/>
          <w:szCs w:val="24"/>
          <w:highlight w:val="none"/>
        </w:rPr>
        <w:t>对灯光音乐喷泉日常的喷放运行、喷泉设备设施巡检保养，及设备维修更换等</w:t>
      </w:r>
      <w:r>
        <w:rPr>
          <w:rFonts w:hint="eastAsia" w:ascii="宋体" w:hAnsi="宋体"/>
          <w:bCs/>
          <w:color w:val="auto"/>
          <w:sz w:val="24"/>
          <w:szCs w:val="24"/>
          <w:highlight w:val="none"/>
          <w:lang w:eastAsia="zh-CN"/>
        </w:rPr>
        <w:t>。</w:t>
      </w:r>
      <w:r>
        <w:rPr>
          <w:rFonts w:hint="eastAsia" w:ascii="宋体" w:hAnsi="宋体"/>
          <w:color w:val="auto"/>
          <w:sz w:val="24"/>
          <w:szCs w:val="21"/>
          <w:highlight w:val="none"/>
        </w:rPr>
        <w:t>（</w:t>
      </w:r>
      <w:r>
        <w:rPr>
          <w:rFonts w:hint="eastAsia" w:ascii="宋体" w:hAnsi="宋体"/>
          <w:color w:val="auto"/>
          <w:sz w:val="24"/>
          <w:szCs w:val="21"/>
          <w:highlight w:val="none"/>
          <w:lang w:eastAsia="zh-CN"/>
        </w:rPr>
        <w:t>具体内容详见招标文件</w:t>
      </w:r>
      <w:r>
        <w:rPr>
          <w:rFonts w:hint="eastAsia" w:ascii="宋体" w:hAnsi="宋体"/>
          <w:color w:val="auto"/>
          <w:sz w:val="24"/>
          <w:szCs w:val="21"/>
          <w:highlight w:val="none"/>
          <w:lang w:val="en-US" w:eastAsia="zh-CN"/>
        </w:rPr>
        <w:t>第三章</w:t>
      </w:r>
      <w:r>
        <w:rPr>
          <w:rFonts w:hint="eastAsia" w:ascii="宋体" w:hAnsi="宋体"/>
          <w:color w:val="auto"/>
          <w:sz w:val="24"/>
          <w:szCs w:val="21"/>
          <w:highlight w:val="none"/>
        </w:rPr>
        <w:t>）</w:t>
      </w:r>
    </w:p>
    <w:p w14:paraId="57AB965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（3）服务期限：见《投标人须知前附表》。</w:t>
      </w:r>
    </w:p>
    <w:p w14:paraId="6831E6BD">
      <w:pPr>
        <w:shd w:val="clear"/>
        <w:tabs>
          <w:tab w:val="left" w:pos="84"/>
        </w:tabs>
        <w:spacing w:after="0" w:line="360" w:lineRule="auto"/>
        <w:ind w:right="-2" w:firstLine="480" w:firstLineChars="200"/>
        <w:rPr>
          <w:rFonts w:hint="eastAsia" w:ascii="宋体" w:hAnsi="宋体"/>
          <w:bCs/>
          <w:color w:val="auto"/>
          <w:sz w:val="24"/>
          <w:szCs w:val="21"/>
          <w:highlight w:val="none"/>
        </w:rPr>
      </w:pPr>
      <w:r>
        <w:rPr>
          <w:rFonts w:hint="eastAsia" w:ascii="宋体" w:hAnsi="宋体"/>
          <w:color w:val="auto"/>
          <w:sz w:val="24"/>
          <w:highlight w:val="none"/>
        </w:rPr>
        <w:t>（4）</w:t>
      </w:r>
      <w:r>
        <w:rPr>
          <w:rFonts w:hint="eastAsia" w:ascii="宋体" w:hAnsi="宋体"/>
          <w:color w:val="auto"/>
          <w:sz w:val="24"/>
          <w:highlight w:val="none"/>
          <w:lang w:eastAsia="zh-CN"/>
        </w:rPr>
        <w:t>服务地点</w:t>
      </w:r>
      <w:r>
        <w:rPr>
          <w:rFonts w:hint="eastAsia" w:ascii="宋体" w:hAnsi="宋体"/>
          <w:color w:val="auto"/>
          <w:sz w:val="24"/>
          <w:highlight w:val="none"/>
        </w:rPr>
        <w:t>：见《投标人须知前附表》。</w:t>
      </w:r>
    </w:p>
    <w:p w14:paraId="0FD60EDB">
      <w:pPr>
        <w:shd w:val="clear"/>
        <w:tabs>
          <w:tab w:val="left" w:pos="84"/>
        </w:tabs>
        <w:spacing w:after="0" w:line="360" w:lineRule="auto"/>
        <w:ind w:right="-2" w:firstLine="480" w:firstLineChars="200"/>
        <w:rPr>
          <w:rFonts w:hint="eastAsia" w:ascii="宋体" w:hAnsi="宋体"/>
          <w:bCs/>
          <w:color w:val="auto"/>
          <w:sz w:val="24"/>
          <w:szCs w:val="21"/>
          <w:highlight w:val="none"/>
        </w:rPr>
      </w:pPr>
      <w:r>
        <w:rPr>
          <w:rFonts w:hint="eastAsia" w:ascii="宋体" w:hAnsi="宋体"/>
          <w:bCs/>
          <w:color w:val="auto"/>
          <w:sz w:val="24"/>
          <w:szCs w:val="21"/>
          <w:highlight w:val="none"/>
        </w:rPr>
        <w:t>（5）付款方式：</w:t>
      </w:r>
    </w:p>
    <w:p w14:paraId="439867B9">
      <w:pPr>
        <w:shd w:val="clear"/>
        <w:tabs>
          <w:tab w:val="left" w:pos="84"/>
        </w:tabs>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1.</w:t>
      </w:r>
      <w:r>
        <w:rPr>
          <w:rFonts w:hint="eastAsia" w:ascii="宋体" w:hAnsi="宋体"/>
          <w:color w:val="auto"/>
          <w:sz w:val="24"/>
          <w:highlight w:val="none"/>
        </w:rPr>
        <w:t>运行巡检部分：合同签署且中标人提交履约保证金并开始服务后，完成第一个三个月维护工作，</w:t>
      </w:r>
      <w:r>
        <w:rPr>
          <w:rFonts w:hint="eastAsia" w:ascii="宋体" w:hAnsi="宋体"/>
          <w:color w:val="auto"/>
          <w:sz w:val="24"/>
          <w:highlight w:val="none"/>
          <w:lang w:val="en-US" w:eastAsia="zh-CN"/>
        </w:rPr>
        <w:t>经招标人验收合格确认后，</w:t>
      </w:r>
      <w:r>
        <w:rPr>
          <w:rFonts w:hint="eastAsia" w:ascii="宋体" w:hAnsi="宋体"/>
          <w:color w:val="auto"/>
          <w:sz w:val="24"/>
          <w:highlight w:val="none"/>
        </w:rPr>
        <w:t>支付运行巡检部分固定总价的30%；完成第二个三个月维护工作，</w:t>
      </w:r>
      <w:r>
        <w:rPr>
          <w:rFonts w:hint="eastAsia" w:ascii="宋体" w:hAnsi="宋体"/>
          <w:color w:val="auto"/>
          <w:sz w:val="24"/>
          <w:highlight w:val="none"/>
          <w:lang w:val="en-US" w:eastAsia="zh-CN"/>
        </w:rPr>
        <w:t>经招标人验收合格确认后，</w:t>
      </w:r>
      <w:r>
        <w:rPr>
          <w:rFonts w:hint="eastAsia" w:ascii="宋体" w:hAnsi="宋体"/>
          <w:color w:val="auto"/>
          <w:sz w:val="24"/>
          <w:highlight w:val="none"/>
        </w:rPr>
        <w:t>支付运行巡检部分固定总价的20%；完成第三个三个月维护工作，</w:t>
      </w:r>
      <w:r>
        <w:rPr>
          <w:rFonts w:hint="eastAsia" w:ascii="宋体" w:hAnsi="宋体"/>
          <w:color w:val="auto"/>
          <w:sz w:val="24"/>
          <w:highlight w:val="none"/>
          <w:lang w:val="en-US" w:eastAsia="zh-CN"/>
        </w:rPr>
        <w:t>经招标人验收合格确认后，</w:t>
      </w:r>
      <w:r>
        <w:rPr>
          <w:rFonts w:hint="eastAsia" w:ascii="宋体" w:hAnsi="宋体"/>
          <w:color w:val="auto"/>
          <w:sz w:val="24"/>
          <w:highlight w:val="none"/>
        </w:rPr>
        <w:t>支付运行巡检部分固定总价的20%。余款待服务期满后，</w:t>
      </w:r>
      <w:r>
        <w:rPr>
          <w:rFonts w:hint="eastAsia" w:ascii="宋体" w:hAnsi="宋体"/>
          <w:color w:val="auto"/>
          <w:sz w:val="24"/>
          <w:highlight w:val="none"/>
          <w:lang w:val="en-US" w:eastAsia="zh-CN"/>
        </w:rPr>
        <w:t>经招标人验收合格确认后，</w:t>
      </w:r>
      <w:r>
        <w:rPr>
          <w:rFonts w:hint="eastAsia" w:ascii="宋体" w:hAnsi="宋体"/>
          <w:color w:val="auto"/>
          <w:sz w:val="24"/>
          <w:highlight w:val="none"/>
        </w:rPr>
        <w:t>扣除喷泉表演期内产生的考核扣款（每0.1分扣500元）后，一次性付清运行巡检部分固定总价余款部分。考核细则详见</w:t>
      </w:r>
      <w:r>
        <w:rPr>
          <w:rFonts w:hint="eastAsia" w:ascii="宋体" w:hAnsi="宋体"/>
          <w:color w:val="auto"/>
          <w:sz w:val="24"/>
          <w:highlight w:val="none"/>
          <w:lang w:val="en-US" w:eastAsia="zh-CN"/>
        </w:rPr>
        <w:t>第二章</w:t>
      </w:r>
      <w:r>
        <w:rPr>
          <w:rFonts w:hint="eastAsia" w:ascii="宋体" w:hAnsi="宋体"/>
          <w:color w:val="auto"/>
          <w:sz w:val="24"/>
          <w:highlight w:val="none"/>
        </w:rPr>
        <w:t>附件3。</w:t>
      </w:r>
    </w:p>
    <w:p w14:paraId="57A13EDF">
      <w:pPr>
        <w:shd w:val="clear"/>
        <w:tabs>
          <w:tab w:val="left" w:pos="84"/>
        </w:tabs>
        <w:spacing w:after="0" w:line="360" w:lineRule="auto"/>
        <w:ind w:right="-2" w:firstLine="480" w:firstLineChars="200"/>
        <w:rPr>
          <w:rFonts w:hint="eastAsia" w:ascii="宋体" w:hAnsi="宋体"/>
          <w:color w:val="auto"/>
          <w:sz w:val="24"/>
          <w:highlight w:val="none"/>
          <w:lang w:eastAsia="zh-CN"/>
        </w:rPr>
      </w:pPr>
      <w:r>
        <w:rPr>
          <w:rFonts w:hint="eastAsia" w:ascii="宋体" w:hAnsi="宋体"/>
          <w:color w:val="auto"/>
          <w:sz w:val="24"/>
          <w:highlight w:val="none"/>
          <w:lang w:val="en-US" w:eastAsia="zh-CN"/>
        </w:rPr>
        <w:t>2.</w:t>
      </w:r>
      <w:r>
        <w:rPr>
          <w:rFonts w:hint="eastAsia" w:ascii="宋体" w:hAnsi="宋体"/>
          <w:color w:val="auto"/>
          <w:sz w:val="24"/>
          <w:highlight w:val="none"/>
          <w:lang w:eastAsia="zh-CN"/>
        </w:rPr>
        <w:t>设备的维修更换部分：</w:t>
      </w:r>
      <w:r>
        <w:rPr>
          <w:rFonts w:hint="eastAsia" w:ascii="宋体" w:hAnsi="宋体"/>
          <w:color w:val="auto"/>
          <w:sz w:val="24"/>
          <w:highlight w:val="none"/>
          <w:lang w:val="en-US" w:eastAsia="zh-CN"/>
        </w:rPr>
        <w:t>设备维修更换前，中标人应向招标人书面提交维修更换清单，经招标人同意并双方签字盖章后，方可实施。</w:t>
      </w:r>
      <w:r>
        <w:rPr>
          <w:rFonts w:hint="eastAsia" w:ascii="宋体" w:hAnsi="宋体"/>
          <w:color w:val="auto"/>
          <w:sz w:val="24"/>
          <w:highlight w:val="none"/>
          <w:lang w:eastAsia="zh-CN"/>
        </w:rPr>
        <w:t>年度合同结束后，</w:t>
      </w:r>
      <w:r>
        <w:rPr>
          <w:rFonts w:hint="eastAsia" w:ascii="宋体" w:hAnsi="宋体"/>
          <w:color w:val="auto"/>
          <w:sz w:val="24"/>
          <w:highlight w:val="none"/>
          <w:lang w:val="en-US" w:eastAsia="zh-CN"/>
        </w:rPr>
        <w:t>招标人按经验收合格已确认的清单实际数量，依据中标单价一次</w:t>
      </w:r>
      <w:r>
        <w:rPr>
          <w:rFonts w:hint="eastAsia" w:ascii="宋体" w:hAnsi="宋体"/>
          <w:color w:val="auto"/>
          <w:sz w:val="24"/>
          <w:highlight w:val="none"/>
          <w:lang w:eastAsia="zh-CN"/>
        </w:rPr>
        <w:t>性据实支付专用费用。</w:t>
      </w:r>
      <w:r>
        <w:rPr>
          <w:rFonts w:hint="eastAsia" w:ascii="宋体" w:hAnsi="宋体" w:eastAsia="宋体" w:cs="Times New Roman"/>
          <w:color w:val="auto"/>
          <w:kern w:val="2"/>
          <w:sz w:val="24"/>
          <w:szCs w:val="24"/>
          <w:highlight w:val="none"/>
          <w:lang w:val="en-US" w:eastAsia="zh-CN" w:bidi="ar-SA"/>
        </w:rPr>
        <w:t>结算值以</w:t>
      </w:r>
      <w:r>
        <w:rPr>
          <w:rFonts w:hint="eastAsia" w:cs="Times New Roman"/>
          <w:color w:val="auto"/>
          <w:kern w:val="2"/>
          <w:sz w:val="24"/>
          <w:szCs w:val="24"/>
          <w:highlight w:val="none"/>
          <w:lang w:val="en-US" w:eastAsia="zh-CN" w:bidi="ar-SA"/>
        </w:rPr>
        <w:t>经招标人审核确认的</w:t>
      </w:r>
      <w:r>
        <w:rPr>
          <w:rFonts w:hint="eastAsia" w:ascii="宋体" w:hAnsi="宋体" w:eastAsia="宋体" w:cs="Times New Roman"/>
          <w:color w:val="auto"/>
          <w:kern w:val="2"/>
          <w:sz w:val="24"/>
          <w:szCs w:val="24"/>
          <w:highlight w:val="none"/>
          <w:lang w:val="en-US" w:eastAsia="zh-CN" w:bidi="ar-SA"/>
        </w:rPr>
        <w:t>第三方造价机构审核为准</w:t>
      </w:r>
    </w:p>
    <w:p w14:paraId="2A9D5E28">
      <w:pPr>
        <w:shd w:val="clear"/>
        <w:tabs>
          <w:tab w:val="left" w:pos="84"/>
        </w:tabs>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lang w:eastAsia="zh-CN"/>
        </w:rPr>
        <w:t>注：招标人每次付款前，中标人应向招标人提交与付款金额一致的增值税专用发票，</w:t>
      </w:r>
      <w:r>
        <w:rPr>
          <w:rFonts w:hint="eastAsia" w:ascii="宋体" w:hAnsi="宋体"/>
          <w:color w:val="auto"/>
          <w:sz w:val="24"/>
          <w:highlight w:val="none"/>
          <w:lang w:val="en-US" w:eastAsia="zh-CN"/>
        </w:rPr>
        <w:t>否则招标人有权拒绝付款且不不承担任何责任，中标人不得因此拒绝履行合同项下任何义务</w:t>
      </w:r>
      <w:r>
        <w:rPr>
          <w:rFonts w:hint="eastAsia" w:ascii="宋体" w:hAnsi="宋体"/>
          <w:color w:val="auto"/>
          <w:sz w:val="24"/>
          <w:highlight w:val="none"/>
          <w:lang w:eastAsia="zh-CN"/>
        </w:rPr>
        <w:t>。</w:t>
      </w:r>
    </w:p>
    <w:p w14:paraId="72B98B4E">
      <w:pPr>
        <w:shd w:val="clear"/>
        <w:tabs>
          <w:tab w:val="left" w:pos="420"/>
        </w:tabs>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szCs w:val="21"/>
          <w:highlight w:val="none"/>
          <w:lang w:eastAsia="zh-CN"/>
        </w:rPr>
        <w:t>（</w:t>
      </w:r>
      <w:r>
        <w:rPr>
          <w:rFonts w:hint="eastAsia" w:ascii="宋体" w:hAnsi="宋体"/>
          <w:color w:val="auto"/>
          <w:sz w:val="24"/>
          <w:szCs w:val="21"/>
          <w:highlight w:val="none"/>
          <w:lang w:val="en-US" w:eastAsia="zh-CN"/>
        </w:rPr>
        <w:t>6</w:t>
      </w:r>
      <w:r>
        <w:rPr>
          <w:rFonts w:hint="eastAsia" w:ascii="宋体" w:hAnsi="宋体"/>
          <w:color w:val="auto"/>
          <w:sz w:val="24"/>
          <w:szCs w:val="21"/>
          <w:highlight w:val="none"/>
          <w:lang w:eastAsia="zh-CN"/>
        </w:rPr>
        <w:t>）</w:t>
      </w:r>
      <w:r>
        <w:rPr>
          <w:rFonts w:hint="eastAsia" w:ascii="宋体" w:hAnsi="宋体"/>
          <w:color w:val="auto"/>
          <w:sz w:val="24"/>
          <w:szCs w:val="21"/>
          <w:highlight w:val="none"/>
        </w:rPr>
        <w:t>资金来</w:t>
      </w:r>
      <w:r>
        <w:rPr>
          <w:rFonts w:hint="eastAsia" w:ascii="宋体" w:hAnsi="宋体"/>
          <w:bCs/>
          <w:color w:val="auto"/>
          <w:sz w:val="24"/>
          <w:highlight w:val="none"/>
        </w:rPr>
        <w:t>源：</w:t>
      </w:r>
      <w:r>
        <w:rPr>
          <w:rFonts w:hint="eastAsia" w:ascii="宋体" w:hAnsi="宋体"/>
          <w:color w:val="auto"/>
          <w:sz w:val="24"/>
          <w:szCs w:val="21"/>
          <w:highlight w:val="none"/>
          <w:lang w:val="en-US" w:eastAsia="zh-CN"/>
        </w:rPr>
        <w:t>城维费</w:t>
      </w:r>
      <w:r>
        <w:rPr>
          <w:rFonts w:hint="eastAsia" w:ascii="宋体" w:hAnsi="宋体"/>
          <w:color w:val="auto"/>
          <w:sz w:val="24"/>
          <w:szCs w:val="21"/>
          <w:highlight w:val="none"/>
        </w:rPr>
        <w:t>。</w:t>
      </w:r>
    </w:p>
    <w:p w14:paraId="1C5FE720">
      <w:pPr>
        <w:shd w:val="clear"/>
        <w:spacing w:after="0" w:line="360" w:lineRule="auto"/>
        <w:ind w:right="-2" w:firstLine="361" w:firstLineChars="150"/>
        <w:rPr>
          <w:rFonts w:hint="eastAsia" w:ascii="宋体" w:hAnsi="宋体"/>
          <w:color w:val="auto"/>
          <w:sz w:val="24"/>
          <w:highlight w:val="none"/>
        </w:rPr>
      </w:pPr>
      <w:r>
        <w:rPr>
          <w:rFonts w:hint="eastAsia" w:ascii="宋体" w:hAnsi="宋体"/>
          <w:b/>
          <w:bCs/>
          <w:color w:val="auto"/>
          <w:sz w:val="24"/>
          <w:highlight w:val="none"/>
        </w:rPr>
        <w:t>（二）投标人资格要求</w:t>
      </w:r>
    </w:p>
    <w:p w14:paraId="5508F972">
      <w:pPr>
        <w:shd w:val="clear"/>
        <w:spacing w:after="0" w:line="360" w:lineRule="auto"/>
        <w:ind w:right="-2" w:firstLine="480" w:firstLineChars="200"/>
        <w:rPr>
          <w:rFonts w:hint="eastAsia" w:ascii="宋体" w:hAnsi="宋体" w:cs="宋体"/>
          <w:color w:val="auto"/>
          <w:sz w:val="24"/>
          <w:highlight w:val="none"/>
        </w:rPr>
      </w:pPr>
      <w:r>
        <w:rPr>
          <w:rFonts w:hint="eastAsia" w:ascii="宋体" w:hAnsi="宋体" w:cs="宋体"/>
          <w:color w:val="auto"/>
          <w:sz w:val="24"/>
          <w:highlight w:val="none"/>
        </w:rPr>
        <w:t>详见《投标邀请函》。</w:t>
      </w:r>
    </w:p>
    <w:p w14:paraId="27B8EC1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其他要求：</w:t>
      </w:r>
    </w:p>
    <w:p w14:paraId="70AFE8C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1.投标人只有在法律和财务上独立，并且与招标人没有隶属关系才可以参与本项目的投标。</w:t>
      </w:r>
    </w:p>
    <w:p w14:paraId="6E76DC95">
      <w:pPr>
        <w:shd w:val="clear"/>
        <w:spacing w:after="0" w:line="360" w:lineRule="auto"/>
        <w:ind w:right="-2" w:firstLine="480" w:firstLineChars="200"/>
        <w:rPr>
          <w:color w:val="auto"/>
          <w:spacing w:val="8"/>
          <w:sz w:val="24"/>
          <w:highlight w:val="none"/>
        </w:rPr>
      </w:pPr>
      <w:r>
        <w:rPr>
          <w:rFonts w:hint="eastAsia" w:ascii="宋体" w:hAnsi="宋体"/>
          <w:color w:val="auto"/>
          <w:sz w:val="24"/>
          <w:highlight w:val="none"/>
        </w:rPr>
        <w:t>2.</w:t>
      </w:r>
      <w:r>
        <w:rPr>
          <w:color w:val="auto"/>
          <w:spacing w:val="8"/>
          <w:sz w:val="24"/>
          <w:highlight w:val="none"/>
        </w:rPr>
        <w:t>与招标人存在利害关系可能影响招标公正性的法人、其他组织或者个人，不得参加投标。</w:t>
      </w:r>
    </w:p>
    <w:p w14:paraId="7EE01A3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w:t>
      </w:r>
      <w:r>
        <w:rPr>
          <w:color w:val="auto"/>
          <w:spacing w:val="8"/>
          <w:sz w:val="24"/>
          <w:highlight w:val="none"/>
        </w:rPr>
        <w:t>单位负责人为同一人或者存在直接控股、管理关系的不同单位，不得参加同一标段投标或者未划分标段的同一招标项目投标。</w:t>
      </w:r>
    </w:p>
    <w:p w14:paraId="0AC7FCC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4.法定代表人为同一个人的两个及两个以上法人不得同时参与投标；投标人之间不应存在授权关系。如有此类情况，则只接受先报名的投标人。</w:t>
      </w:r>
    </w:p>
    <w:p w14:paraId="03F7CC66">
      <w:pPr>
        <w:shd w:val="clear"/>
        <w:spacing w:after="0" w:line="360" w:lineRule="auto"/>
        <w:ind w:right="-2" w:firstLine="480"/>
        <w:rPr>
          <w:rFonts w:hint="eastAsia" w:ascii="宋体" w:hAnsi="宋体" w:cs="宋体"/>
          <w:color w:val="auto"/>
          <w:sz w:val="24"/>
          <w:highlight w:val="none"/>
        </w:rPr>
      </w:pPr>
      <w:r>
        <w:rPr>
          <w:rFonts w:hint="eastAsia" w:ascii="宋体" w:hAnsi="宋体"/>
          <w:color w:val="auto"/>
          <w:sz w:val="24"/>
          <w:highlight w:val="none"/>
        </w:rPr>
        <w:t>5.</w:t>
      </w:r>
      <w:r>
        <w:rPr>
          <w:rFonts w:hint="eastAsia" w:ascii="宋体" w:hAnsi="宋体" w:cs="宋体"/>
          <w:color w:val="auto"/>
          <w:sz w:val="24"/>
          <w:highlight w:val="none"/>
        </w:rPr>
        <w:t>经查询有不良信用信息记录的不得参加本采购项目。</w:t>
      </w:r>
    </w:p>
    <w:p w14:paraId="04BCC69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信用信息查询渠道：“信用中国”网站(www.creditchina.gov.cn)、“信用辽宁”网站（xyln.ln.gov.cn）失信黑名单、“信用大连”（www.credit.dl.gov.cn）网站大连市重大税收违法案件信息公示平台、“中国政府采购网”(www.ccgp.gov.cn)政府采购严重违法失信行为信息记录等。</w:t>
      </w:r>
    </w:p>
    <w:p w14:paraId="3DE5750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（2）信用信息查询截止时点：投标文件递交截止前1个日历日。</w:t>
      </w:r>
    </w:p>
    <w:p w14:paraId="748FC0B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（3）信用信息查询记录和证据留存方式：截屏等可实现留痕的方式。</w:t>
      </w:r>
    </w:p>
    <w:p w14:paraId="28536B9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（4）信用信息使用规则：对于经查询被列入失信被执行人、重大税收违法案件当事人名单、政府采购严重违法失信行为记录名单的供应商，评审委员会应取消其投标资格。</w:t>
      </w:r>
    </w:p>
    <w:p w14:paraId="2AFF85EF">
      <w:pPr>
        <w:shd w:val="clear"/>
        <w:spacing w:after="0" w:line="276"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6.为本项目提供整体设计、规范编制或者项目管理、监理、检测等服务的单位，不得参加本采购项目。</w:t>
      </w:r>
    </w:p>
    <w:p w14:paraId="1A598267">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7.本项目不接受联合体投标。</w:t>
      </w:r>
    </w:p>
    <w:p w14:paraId="1CD6B07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8.本项目不允许中标人将项目转包，不允许中标人将项目分包。</w:t>
      </w:r>
    </w:p>
    <w:p w14:paraId="366F1CFF">
      <w:pPr>
        <w:shd w:val="clear"/>
        <w:spacing w:after="0" w:line="360" w:lineRule="auto"/>
        <w:ind w:right="-2" w:firstLine="361" w:firstLineChars="150"/>
        <w:rPr>
          <w:rFonts w:hint="eastAsia" w:ascii="宋体" w:hAnsi="宋体"/>
          <w:color w:val="auto"/>
          <w:sz w:val="24"/>
          <w:highlight w:val="none"/>
        </w:rPr>
      </w:pPr>
      <w:r>
        <w:rPr>
          <w:rFonts w:hint="eastAsia" w:ascii="宋体" w:hAnsi="宋体"/>
          <w:b/>
          <w:color w:val="auto"/>
          <w:sz w:val="24"/>
          <w:highlight w:val="none"/>
        </w:rPr>
        <w:t>（三）投标费用</w:t>
      </w:r>
    </w:p>
    <w:p w14:paraId="1096EDA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投标人应承担所有与编写和提交投标文件有关的一切费用，不论投标的结果如何，招标人及招标代理人在任何情况下均无义务和责任承担这些费用。</w:t>
      </w:r>
    </w:p>
    <w:p w14:paraId="68DD3875">
      <w:pPr>
        <w:shd w:val="clear"/>
        <w:spacing w:after="0" w:line="360" w:lineRule="auto"/>
        <w:ind w:right="-2" w:firstLine="600" w:firstLineChars="250"/>
        <w:rPr>
          <w:rFonts w:hint="eastAsia" w:ascii="宋体" w:hAnsi="宋体"/>
          <w:color w:val="auto"/>
          <w:sz w:val="24"/>
          <w:highlight w:val="none"/>
        </w:rPr>
      </w:pPr>
    </w:p>
    <w:p w14:paraId="44FD15C3">
      <w:pPr>
        <w:shd w:val="clear"/>
        <w:spacing w:after="0" w:line="360" w:lineRule="auto"/>
        <w:ind w:right="-2" w:firstLine="354" w:firstLineChars="98"/>
        <w:jc w:val="center"/>
        <w:outlineLvl w:val="0"/>
        <w:rPr>
          <w:rFonts w:hint="eastAsia" w:ascii="宋体" w:hAnsi="宋体"/>
          <w:b/>
          <w:bCs/>
          <w:color w:val="auto"/>
          <w:sz w:val="36"/>
          <w:szCs w:val="36"/>
          <w:highlight w:val="none"/>
        </w:rPr>
      </w:pPr>
      <w:r>
        <w:rPr>
          <w:rFonts w:hint="eastAsia" w:ascii="宋体" w:hAnsi="宋体"/>
          <w:b/>
          <w:bCs/>
          <w:color w:val="auto"/>
          <w:sz w:val="36"/>
          <w:szCs w:val="36"/>
          <w:highlight w:val="none"/>
        </w:rPr>
        <w:t>二、招标文件</w:t>
      </w:r>
    </w:p>
    <w:p w14:paraId="5648FD0B">
      <w:pPr>
        <w:shd w:val="clear"/>
        <w:spacing w:after="0" w:line="360" w:lineRule="auto"/>
        <w:ind w:right="-2" w:firstLine="357" w:firstLineChars="148"/>
        <w:outlineLvl w:val="0"/>
        <w:rPr>
          <w:rFonts w:hint="eastAsia" w:ascii="宋体" w:hAnsi="宋体"/>
          <w:b/>
          <w:bCs/>
          <w:color w:val="auto"/>
          <w:sz w:val="28"/>
          <w:szCs w:val="28"/>
          <w:highlight w:val="none"/>
        </w:rPr>
      </w:pPr>
      <w:r>
        <w:rPr>
          <w:rFonts w:hint="eastAsia" w:ascii="宋体" w:hAnsi="宋体"/>
          <w:b/>
          <w:bCs/>
          <w:color w:val="auto"/>
          <w:sz w:val="24"/>
          <w:highlight w:val="none"/>
        </w:rPr>
        <w:t xml:space="preserve">（一）招标文件构成    </w:t>
      </w:r>
    </w:p>
    <w:p w14:paraId="12D3EAF0">
      <w:pPr>
        <w:shd w:val="clear"/>
        <w:spacing w:after="0" w:line="360" w:lineRule="auto"/>
        <w:ind w:right="-2" w:firstLine="480" w:firstLineChars="200"/>
        <w:outlineLvl w:val="0"/>
        <w:rPr>
          <w:rFonts w:hint="eastAsia" w:ascii="宋体" w:hAnsi="宋体"/>
          <w:bCs/>
          <w:color w:val="auto"/>
          <w:sz w:val="28"/>
          <w:szCs w:val="28"/>
          <w:highlight w:val="none"/>
        </w:rPr>
      </w:pPr>
      <w:r>
        <w:rPr>
          <w:rFonts w:hint="eastAsia" w:ascii="宋体" w:hAnsi="宋体"/>
          <w:color w:val="auto"/>
          <w:sz w:val="24"/>
          <w:highlight w:val="none"/>
        </w:rPr>
        <w:t>1.招标文件包括：</w:t>
      </w:r>
    </w:p>
    <w:p w14:paraId="10022373">
      <w:pPr>
        <w:shd w:val="clear"/>
        <w:spacing w:after="0" w:line="360" w:lineRule="auto"/>
        <w:ind w:right="-2" w:firstLine="480" w:firstLineChars="200"/>
        <w:outlineLvl w:val="0"/>
        <w:rPr>
          <w:rFonts w:hint="eastAsia" w:ascii="宋体" w:hAnsi="宋体"/>
          <w:bCs/>
          <w:color w:val="auto"/>
          <w:sz w:val="28"/>
          <w:szCs w:val="28"/>
          <w:highlight w:val="none"/>
        </w:rPr>
      </w:pPr>
      <w:r>
        <w:rPr>
          <w:rFonts w:hint="eastAsia" w:ascii="宋体" w:hAnsi="宋体"/>
          <w:color w:val="auto"/>
          <w:sz w:val="24"/>
          <w:highlight w:val="none"/>
        </w:rPr>
        <w:t>投标邀请函</w:t>
      </w:r>
    </w:p>
    <w:p w14:paraId="2AB8984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第一章    投标人须知及前附表</w:t>
      </w:r>
    </w:p>
    <w:p w14:paraId="482F73F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第二章    合同条款及合同格式</w:t>
      </w:r>
      <w:r>
        <w:rPr>
          <w:rFonts w:hint="eastAsia" w:ascii="宋体" w:hAnsi="宋体"/>
          <w:color w:val="auto"/>
          <w:sz w:val="24"/>
          <w:highlight w:val="none"/>
        </w:rPr>
        <w:tab/>
      </w:r>
    </w:p>
    <w:p w14:paraId="25A1FC4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第三章    项目需求及服务要求</w:t>
      </w:r>
    </w:p>
    <w:p w14:paraId="2BF90AC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第四章    投标文件格式</w:t>
      </w:r>
    </w:p>
    <w:p w14:paraId="235EEAD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附件1    开标一览表</w:t>
      </w:r>
    </w:p>
    <w:p w14:paraId="720F4E4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附件2    资格性审查表</w:t>
      </w:r>
    </w:p>
    <w:p w14:paraId="3103684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附件3    符合性审查表</w:t>
      </w:r>
    </w:p>
    <w:p w14:paraId="6B46ADB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附件4    评标方法</w:t>
      </w:r>
    </w:p>
    <w:p w14:paraId="552F268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2.投标人应认真阅读招标文件中所有的事项、格式、条款、项目任务等要求。如果投标人没有按照招标文件要求提交全部资料或者投标文件没有对招标文件在各方面都作出实质性响应，其投标将被拒绝。</w:t>
      </w:r>
    </w:p>
    <w:p w14:paraId="3977E25C">
      <w:pPr>
        <w:shd w:val="clear"/>
        <w:spacing w:after="0" w:line="360" w:lineRule="auto"/>
        <w:ind w:right="-2" w:firstLine="361" w:firstLineChars="150"/>
        <w:rPr>
          <w:rFonts w:hint="eastAsia" w:ascii="宋体" w:hAnsi="宋体"/>
          <w:b/>
          <w:color w:val="auto"/>
          <w:sz w:val="24"/>
          <w:highlight w:val="none"/>
        </w:rPr>
      </w:pPr>
      <w:r>
        <w:rPr>
          <w:rFonts w:hint="eastAsia" w:ascii="宋体" w:hAnsi="宋体"/>
          <w:b/>
          <w:bCs/>
          <w:color w:val="auto"/>
          <w:sz w:val="24"/>
          <w:highlight w:val="none"/>
        </w:rPr>
        <w:t>（二）招标文件的澄清</w:t>
      </w:r>
    </w:p>
    <w:p w14:paraId="292BB36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任何要求对招标文件进行澄清的投标人，均应按招标文件中的通讯地址，以书面形式（如传真、电子邮件等）及时通知招标代理人，招标代理人将及时以书面形式予以答复，同时将书面答复告知所有购买招标文件的投标人（澄清公告或澄清文件等），答复中包括所问问题，但不包括问题的来源。</w:t>
      </w:r>
    </w:p>
    <w:p w14:paraId="3F5964EC">
      <w:pPr>
        <w:shd w:val="clear"/>
        <w:spacing w:after="0" w:line="360" w:lineRule="auto"/>
        <w:ind w:right="-2" w:firstLine="361" w:firstLineChars="150"/>
        <w:rPr>
          <w:rFonts w:hint="eastAsia" w:ascii="宋体" w:hAnsi="宋体"/>
          <w:b/>
          <w:color w:val="auto"/>
          <w:sz w:val="24"/>
          <w:highlight w:val="none"/>
        </w:rPr>
      </w:pPr>
      <w:r>
        <w:rPr>
          <w:rFonts w:hint="eastAsia" w:ascii="宋体" w:hAnsi="宋体"/>
          <w:b/>
          <w:bCs/>
          <w:color w:val="auto"/>
          <w:sz w:val="24"/>
          <w:highlight w:val="none"/>
        </w:rPr>
        <w:t>（三）招标文件的修改</w:t>
      </w:r>
    </w:p>
    <w:p w14:paraId="73703E4E">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1.在投标截止时间前，招标代理人依法可主动的或在解答投标人提出的澄清问题时对招标文件进行修改。</w:t>
      </w:r>
    </w:p>
    <w:p w14:paraId="10967E27">
      <w:pPr>
        <w:pStyle w:val="7"/>
        <w:shd w:val="clear"/>
        <w:spacing w:line="360" w:lineRule="auto"/>
        <w:ind w:right="-2" w:firstLine="480" w:firstLineChars="200"/>
        <w:rPr>
          <w:rFonts w:hint="eastAsia" w:ascii="宋体" w:hAnsi="宋体"/>
          <w:bCs/>
          <w:color w:val="auto"/>
          <w:highlight w:val="none"/>
        </w:rPr>
      </w:pPr>
      <w:r>
        <w:rPr>
          <w:rFonts w:hint="eastAsia" w:ascii="宋体" w:hAnsi="宋体"/>
          <w:color w:val="auto"/>
          <w:sz w:val="24"/>
          <w:highlight w:val="none"/>
        </w:rPr>
        <w:t>2.招标文件的修改将以书面形式（更正公告或更正文件等）通知所有购买招标文件的投标人，并对其具有约束力。投标人应自行到大连国企阳光采购服务平台（http://www.dlygcg.com/）查看更正公告及更正文件</w:t>
      </w:r>
      <w:r>
        <w:rPr>
          <w:rFonts w:hint="eastAsia" w:ascii="宋体" w:hAnsi="宋体"/>
          <w:bCs/>
          <w:color w:val="auto"/>
          <w:sz w:val="24"/>
          <w:szCs w:val="24"/>
          <w:highlight w:val="none"/>
        </w:rPr>
        <w:t>，否则因此影响投标活动的任何情况由投标人自行承担。</w:t>
      </w:r>
    </w:p>
    <w:p w14:paraId="2BAC333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3.为使投标人编写投标文件时，有充分时间对招标文件的修改部分进行研究，如招标文件</w:t>
      </w:r>
      <w:r>
        <w:rPr>
          <w:rFonts w:ascii="宋体" w:hAnsi="宋体" w:cs="宋体"/>
          <w:color w:val="auto"/>
          <w:sz w:val="24"/>
          <w:szCs w:val="24"/>
          <w:highlight w:val="none"/>
        </w:rPr>
        <w:t>澄清或者修改的内容可能影响投标文件编制</w:t>
      </w:r>
      <w:r>
        <w:rPr>
          <w:rFonts w:hint="eastAsia" w:ascii="宋体" w:hAnsi="宋体" w:cs="宋体"/>
          <w:color w:val="auto"/>
          <w:sz w:val="24"/>
          <w:szCs w:val="24"/>
          <w:highlight w:val="none"/>
        </w:rPr>
        <w:t>且至</w:t>
      </w:r>
      <w:r>
        <w:rPr>
          <w:rFonts w:ascii="宋体" w:hAnsi="宋体" w:cs="宋体"/>
          <w:color w:val="auto"/>
          <w:sz w:val="24"/>
          <w:szCs w:val="24"/>
          <w:highlight w:val="none"/>
        </w:rPr>
        <w:t>投标截止时间不足15日的，</w:t>
      </w:r>
      <w:r>
        <w:rPr>
          <w:rFonts w:hint="eastAsia" w:ascii="宋体" w:hAnsi="宋体" w:cs="宋体"/>
          <w:color w:val="auto"/>
          <w:sz w:val="24"/>
          <w:szCs w:val="24"/>
          <w:highlight w:val="none"/>
        </w:rPr>
        <w:t>招标</w:t>
      </w:r>
      <w:r>
        <w:rPr>
          <w:rFonts w:ascii="宋体" w:hAnsi="宋体" w:cs="宋体"/>
          <w:color w:val="auto"/>
          <w:sz w:val="24"/>
          <w:szCs w:val="24"/>
          <w:highlight w:val="none"/>
        </w:rPr>
        <w:t>代理机构</w:t>
      </w:r>
      <w:r>
        <w:rPr>
          <w:rFonts w:hint="eastAsia" w:ascii="宋体" w:hAnsi="宋体" w:cs="宋体"/>
          <w:color w:val="auto"/>
          <w:sz w:val="24"/>
          <w:szCs w:val="24"/>
          <w:highlight w:val="none"/>
        </w:rPr>
        <w:t>将</w:t>
      </w:r>
      <w:r>
        <w:rPr>
          <w:rFonts w:ascii="宋体" w:hAnsi="宋体" w:cs="宋体"/>
          <w:color w:val="auto"/>
          <w:sz w:val="24"/>
          <w:szCs w:val="24"/>
          <w:highlight w:val="none"/>
        </w:rPr>
        <w:t>顺延提交投标文件的截止时间。</w:t>
      </w:r>
    </w:p>
    <w:p w14:paraId="4C345D4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4.招标代理人可以视采购具体情况，延长投标截止时间和开标时间，将变更时间书面通知（更正公告等）所有招标文件收受人。</w:t>
      </w:r>
    </w:p>
    <w:p w14:paraId="4A090B97">
      <w:pPr>
        <w:shd w:val="clear"/>
        <w:spacing w:after="0" w:line="360" w:lineRule="auto"/>
        <w:ind w:right="-2"/>
        <w:rPr>
          <w:rFonts w:hint="eastAsia" w:ascii="宋体" w:hAnsi="宋体"/>
          <w:color w:val="auto"/>
          <w:sz w:val="24"/>
          <w:highlight w:val="none"/>
        </w:rPr>
      </w:pPr>
    </w:p>
    <w:p w14:paraId="11C1BEFA">
      <w:pPr>
        <w:shd w:val="clear"/>
        <w:spacing w:after="0" w:line="360" w:lineRule="auto"/>
        <w:ind w:right="-2" w:firstLine="354" w:firstLineChars="98"/>
        <w:jc w:val="center"/>
        <w:rPr>
          <w:rFonts w:hint="eastAsia" w:ascii="宋体" w:hAnsi="宋体"/>
          <w:b/>
          <w:bCs/>
          <w:color w:val="auto"/>
          <w:sz w:val="36"/>
          <w:szCs w:val="36"/>
          <w:highlight w:val="none"/>
        </w:rPr>
      </w:pPr>
      <w:r>
        <w:rPr>
          <w:rFonts w:hint="eastAsia" w:ascii="宋体" w:hAnsi="宋体"/>
          <w:b/>
          <w:bCs/>
          <w:color w:val="auto"/>
          <w:sz w:val="36"/>
          <w:szCs w:val="36"/>
          <w:highlight w:val="none"/>
        </w:rPr>
        <w:t>三、投标文件的编制</w:t>
      </w:r>
    </w:p>
    <w:p w14:paraId="52F91050">
      <w:pPr>
        <w:shd w:val="clear"/>
        <w:spacing w:after="0" w:line="360" w:lineRule="auto"/>
        <w:ind w:right="-2" w:firstLine="361" w:firstLineChars="150"/>
        <w:rPr>
          <w:rFonts w:hint="eastAsia" w:ascii="宋体" w:hAnsi="宋体"/>
          <w:b/>
          <w:bCs/>
          <w:color w:val="auto"/>
          <w:sz w:val="28"/>
          <w:szCs w:val="28"/>
          <w:highlight w:val="none"/>
        </w:rPr>
      </w:pPr>
      <w:r>
        <w:rPr>
          <w:rFonts w:hint="eastAsia" w:ascii="宋体" w:hAnsi="宋体"/>
          <w:b/>
          <w:bCs/>
          <w:color w:val="auto"/>
          <w:sz w:val="24"/>
          <w:highlight w:val="none"/>
        </w:rPr>
        <w:t>（一）投标的语言</w:t>
      </w:r>
    </w:p>
    <w:p w14:paraId="57F980C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投标人提交的投标文件以及投标人与招标代理人就有关投标的所有往来函均应使用中文。</w:t>
      </w:r>
    </w:p>
    <w:p w14:paraId="176B2CD6">
      <w:pPr>
        <w:shd w:val="clear"/>
        <w:spacing w:after="0" w:line="360" w:lineRule="auto"/>
        <w:ind w:right="-2" w:firstLine="361" w:firstLineChars="150"/>
        <w:rPr>
          <w:rFonts w:hint="eastAsia" w:ascii="宋体" w:hAnsi="宋体"/>
          <w:color w:val="auto"/>
          <w:sz w:val="24"/>
          <w:highlight w:val="none"/>
        </w:rPr>
      </w:pPr>
      <w:r>
        <w:rPr>
          <w:rFonts w:hint="eastAsia" w:ascii="宋体" w:hAnsi="宋体"/>
          <w:b/>
          <w:bCs/>
          <w:color w:val="auto"/>
          <w:sz w:val="24"/>
          <w:highlight w:val="none"/>
        </w:rPr>
        <w:t>（二）投标文件构成</w:t>
      </w:r>
    </w:p>
    <w:p w14:paraId="49B44A1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投标人编写的投标文件应包括下列部分</w:t>
      </w:r>
      <w:r>
        <w:rPr>
          <w:rFonts w:hint="eastAsia" w:ascii="宋体" w:hAnsi="宋体"/>
          <w:b/>
          <w:color w:val="auto"/>
          <w:sz w:val="24"/>
          <w:highlight w:val="none"/>
        </w:rPr>
        <w:t>（*项为投标文件必要组成部分，缺少任意一项，投标文件无效）</w:t>
      </w:r>
      <w:r>
        <w:rPr>
          <w:rFonts w:hint="eastAsia" w:ascii="宋体" w:hAnsi="宋体"/>
          <w:color w:val="auto"/>
          <w:sz w:val="24"/>
          <w:highlight w:val="none"/>
        </w:rPr>
        <w:t>：</w:t>
      </w:r>
    </w:p>
    <w:p w14:paraId="125A41DF">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*1.投标函；</w:t>
      </w:r>
    </w:p>
    <w:p w14:paraId="260C9576">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*2.投标报价表；</w:t>
      </w:r>
    </w:p>
    <w:p w14:paraId="141C764E">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*3.服务要求响应及偏离表；</w:t>
      </w:r>
    </w:p>
    <w:p w14:paraId="6328EECC">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*4.商务条款响应及偏离表；</w:t>
      </w:r>
    </w:p>
    <w:p w14:paraId="477CF62F">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*5.资格及符合性证明文件；</w:t>
      </w:r>
    </w:p>
    <w:p w14:paraId="66BC18F3">
      <w:pPr>
        <w:shd w:val="clear"/>
        <w:tabs>
          <w:tab w:val="left" w:pos="540"/>
        </w:tabs>
        <w:spacing w:after="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（1）法人或者其他组织的营业执照等主体证明文件或自然人的身份证明（自然人身份证明仅限在自然人作为投标主体时使用）复印件</w:t>
      </w:r>
    </w:p>
    <w:p w14:paraId="3ECA457D">
      <w:pPr>
        <w:shd w:val="clear"/>
        <w:spacing w:after="0" w:line="360" w:lineRule="auto"/>
        <w:ind w:right="-2" w:firstLine="480"/>
        <w:rPr>
          <w:rFonts w:hint="eastAsia" w:ascii="宋体" w:hAnsi="宋体" w:eastAsia="宋体"/>
          <w:color w:val="auto"/>
          <w:sz w:val="24"/>
          <w:highlight w:val="none"/>
        </w:rPr>
      </w:pPr>
      <w:r>
        <w:rPr>
          <w:rFonts w:hint="eastAsia" w:ascii="宋体" w:hAnsi="宋体"/>
          <w:color w:val="auto"/>
          <w:sz w:val="24"/>
          <w:highlight w:val="none"/>
        </w:rPr>
        <w:t>（2）法定代表人（或非法人组织负责人）身份证</w:t>
      </w:r>
      <w:r>
        <w:rPr>
          <w:rFonts w:hint="eastAsia" w:ascii="宋体" w:hAnsi="宋体" w:eastAsia="宋体"/>
          <w:color w:val="auto"/>
          <w:sz w:val="24"/>
          <w:highlight w:val="none"/>
        </w:rPr>
        <w:t>明书（自然人投标的无需提供）</w:t>
      </w:r>
    </w:p>
    <w:p w14:paraId="45571BED">
      <w:pPr>
        <w:shd w:val="clear"/>
        <w:spacing w:after="0" w:line="360" w:lineRule="auto"/>
        <w:ind w:right="-2" w:firstLine="480"/>
        <w:rPr>
          <w:rFonts w:hint="eastAsia" w:ascii="宋体" w:hAnsi="宋体" w:eastAsia="宋体"/>
          <w:color w:val="auto"/>
          <w:sz w:val="24"/>
          <w:highlight w:val="none"/>
        </w:rPr>
      </w:pPr>
      <w:r>
        <w:rPr>
          <w:rFonts w:hint="eastAsia" w:ascii="宋体" w:hAnsi="宋体" w:eastAsia="宋体"/>
          <w:color w:val="auto"/>
          <w:sz w:val="24"/>
          <w:highlight w:val="none"/>
        </w:rPr>
        <w:t>（3）法定代表人授权书（授权委托人参加投标的须提供）</w:t>
      </w:r>
    </w:p>
    <w:p w14:paraId="00630882">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（4）信用承诺书</w:t>
      </w:r>
    </w:p>
    <w:p w14:paraId="15123872">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（5）其他资格证明文件</w:t>
      </w:r>
    </w:p>
    <w:p w14:paraId="3668737E">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6.其他；</w:t>
      </w:r>
    </w:p>
    <w:p w14:paraId="05F7F33B">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（1）投标人基本情况表</w:t>
      </w:r>
    </w:p>
    <w:p w14:paraId="4A260293">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（2）投标人的类似业绩一览表</w:t>
      </w:r>
    </w:p>
    <w:p w14:paraId="467D8814">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（3）服务方案</w:t>
      </w:r>
    </w:p>
    <w:p w14:paraId="079D9AEB">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7.投标人需说明的其他问题；</w:t>
      </w:r>
    </w:p>
    <w:p w14:paraId="7526C23C">
      <w:pPr>
        <w:shd w:val="clear"/>
        <w:spacing w:after="0" w:line="360" w:lineRule="auto"/>
        <w:ind w:right="-2" w:firstLine="357" w:firstLineChars="148"/>
        <w:outlineLvl w:val="0"/>
        <w:rPr>
          <w:rFonts w:hint="eastAsia" w:ascii="宋体" w:hAnsi="宋体"/>
          <w:b/>
          <w:color w:val="auto"/>
          <w:sz w:val="24"/>
          <w:highlight w:val="none"/>
        </w:rPr>
      </w:pPr>
      <w:r>
        <w:rPr>
          <w:rFonts w:hint="eastAsia" w:ascii="宋体" w:hAnsi="宋体"/>
          <w:b/>
          <w:bCs/>
          <w:color w:val="auto"/>
          <w:sz w:val="24"/>
          <w:highlight w:val="none"/>
        </w:rPr>
        <w:t>（三）投标函</w:t>
      </w:r>
    </w:p>
    <w:p w14:paraId="171494A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投标人应完整地填写招标文件中的投标函格式和投标报价表及其附件。</w:t>
      </w:r>
    </w:p>
    <w:p w14:paraId="5CB80ED2">
      <w:pPr>
        <w:shd w:val="clear"/>
        <w:spacing w:after="0" w:line="360" w:lineRule="auto"/>
        <w:ind w:right="-2" w:firstLine="361" w:firstLineChars="150"/>
        <w:rPr>
          <w:rFonts w:hint="eastAsia" w:ascii="宋体" w:hAnsi="宋体"/>
          <w:b/>
          <w:bCs/>
          <w:color w:val="auto"/>
          <w:sz w:val="24"/>
          <w:highlight w:val="none"/>
        </w:rPr>
      </w:pPr>
      <w:r>
        <w:rPr>
          <w:rFonts w:hint="eastAsia" w:ascii="宋体" w:hAnsi="宋体"/>
          <w:b/>
          <w:bCs/>
          <w:color w:val="auto"/>
          <w:sz w:val="24"/>
          <w:highlight w:val="none"/>
        </w:rPr>
        <w:t>（四）投标报价</w:t>
      </w:r>
    </w:p>
    <w:p w14:paraId="1B47DB1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1.投标人的投标文件中</w:t>
      </w:r>
      <w:r>
        <w:rPr>
          <w:rFonts w:hint="eastAsia" w:ascii="宋体" w:hAnsi="宋体"/>
          <w:color w:val="auto"/>
          <w:sz w:val="24"/>
          <w:highlight w:val="none"/>
          <w:lang w:val="en-US" w:eastAsia="zh-CN"/>
        </w:rPr>
        <w:t>按招标文件要求报价，</w:t>
      </w:r>
      <w:r>
        <w:rPr>
          <w:rFonts w:hint="eastAsia" w:ascii="宋体" w:hAnsi="宋体" w:eastAsia="宋体"/>
          <w:color w:val="auto"/>
          <w:sz w:val="24"/>
          <w:highlight w:val="none"/>
          <w:lang w:eastAsia="zh-CN"/>
        </w:rPr>
        <w:t>运行巡检部分</w:t>
      </w:r>
      <w:r>
        <w:rPr>
          <w:rFonts w:hint="eastAsia" w:ascii="宋体" w:hAnsi="宋体"/>
          <w:color w:val="auto"/>
          <w:sz w:val="24"/>
          <w:highlight w:val="none"/>
        </w:rPr>
        <w:t>报价</w:t>
      </w:r>
      <w:r>
        <w:rPr>
          <w:rFonts w:hint="eastAsia" w:ascii="宋体" w:hAnsi="宋体"/>
          <w:color w:val="auto"/>
          <w:sz w:val="24"/>
          <w:highlight w:val="none"/>
          <w:lang w:val="en-US" w:eastAsia="zh-CN"/>
        </w:rPr>
        <w:t>不得超过最高限价，</w:t>
      </w:r>
      <w:r>
        <w:rPr>
          <w:rFonts w:hint="eastAsia" w:ascii="宋体" w:hAnsi="宋体" w:eastAsia="宋体"/>
          <w:color w:val="auto"/>
          <w:sz w:val="24"/>
          <w:highlight w:val="none"/>
        </w:rPr>
        <w:t>设备维修更换部分</w:t>
      </w:r>
      <w:r>
        <w:rPr>
          <w:rFonts w:hint="eastAsia" w:ascii="宋体" w:hAnsi="宋体"/>
          <w:color w:val="auto"/>
          <w:sz w:val="24"/>
          <w:highlight w:val="none"/>
          <w:lang w:val="en-US" w:eastAsia="zh-CN"/>
        </w:rPr>
        <w:t>不得超过“单项最高限价”</w:t>
      </w:r>
      <w:r>
        <w:rPr>
          <w:rFonts w:hint="eastAsia" w:ascii="宋体" w:hAnsi="宋体"/>
          <w:color w:val="auto"/>
          <w:sz w:val="24"/>
          <w:highlight w:val="none"/>
        </w:rPr>
        <w:t>，任何有选择的报价将不予接受。</w:t>
      </w:r>
    </w:p>
    <w:p w14:paraId="26FD8CF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报价表中标明的价格在合同执行过程中是固定不变的，不得以任何理由予以变更。投标人在报价时应充分考虑本次招标的各种风险（包括漏项风险），在合同执行期间中标价不再实行政策性调整和变动。以可调整的价格提交的投标将作为非实质性响应投标而予以拒绝。</w:t>
      </w:r>
    </w:p>
    <w:p w14:paraId="26CD0746">
      <w:pPr>
        <w:shd w:val="clear"/>
        <w:spacing w:after="0" w:line="360" w:lineRule="auto"/>
        <w:ind w:right="-2" w:firstLine="361" w:firstLineChars="150"/>
        <w:outlineLvl w:val="0"/>
        <w:rPr>
          <w:rFonts w:hint="eastAsia" w:ascii="宋体" w:hAnsi="宋体"/>
          <w:b/>
          <w:bCs/>
          <w:color w:val="auto"/>
          <w:sz w:val="24"/>
          <w:highlight w:val="none"/>
        </w:rPr>
      </w:pPr>
      <w:r>
        <w:rPr>
          <w:rFonts w:hint="eastAsia" w:ascii="宋体" w:hAnsi="宋体"/>
          <w:b/>
          <w:bCs/>
          <w:color w:val="auto"/>
          <w:sz w:val="24"/>
          <w:highlight w:val="none"/>
        </w:rPr>
        <w:t>（五）投标货币</w:t>
      </w:r>
    </w:p>
    <w:p w14:paraId="7E1F6E2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投标报价采用人民币报价。</w:t>
      </w:r>
    </w:p>
    <w:p w14:paraId="2CF328E4">
      <w:pPr>
        <w:shd w:val="clear"/>
        <w:spacing w:after="0" w:line="360" w:lineRule="auto"/>
        <w:ind w:right="-2" w:firstLine="361" w:firstLineChars="150"/>
        <w:rPr>
          <w:rFonts w:hint="eastAsia" w:ascii="宋体" w:hAnsi="宋体"/>
          <w:b/>
          <w:bCs/>
          <w:color w:val="auto"/>
          <w:sz w:val="24"/>
          <w:highlight w:val="none"/>
        </w:rPr>
      </w:pPr>
      <w:r>
        <w:rPr>
          <w:rFonts w:hint="eastAsia" w:ascii="宋体" w:hAnsi="宋体"/>
          <w:b/>
          <w:bCs/>
          <w:color w:val="auto"/>
          <w:sz w:val="24"/>
          <w:highlight w:val="none"/>
        </w:rPr>
        <w:t>（六）证明投标人资格合格的文件</w:t>
      </w:r>
    </w:p>
    <w:p w14:paraId="3016D17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1.投标人应提交证明其有资格参加投标和中标后有能力履行合同的文件，并作为其投标文件的一部分。</w:t>
      </w:r>
    </w:p>
    <w:p w14:paraId="5A739F5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2.投标人提交的中标后有能力履行合同的资格证明文件应符合招标文件要求。</w:t>
      </w:r>
    </w:p>
    <w:p w14:paraId="2E554DF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3.投标人应按招标文件格式要求填写并提交 “资格证明文件”。</w:t>
      </w:r>
    </w:p>
    <w:p w14:paraId="71E1BFE5">
      <w:pPr>
        <w:shd w:val="clear"/>
        <w:spacing w:after="0" w:line="360" w:lineRule="auto"/>
        <w:ind w:right="-2" w:firstLine="361" w:firstLineChars="150"/>
        <w:rPr>
          <w:rFonts w:hint="eastAsia" w:ascii="宋体" w:hAnsi="宋体"/>
          <w:b/>
          <w:color w:val="auto"/>
          <w:sz w:val="24"/>
          <w:highlight w:val="none"/>
        </w:rPr>
      </w:pPr>
      <w:r>
        <w:rPr>
          <w:rFonts w:hint="eastAsia" w:ascii="宋体" w:hAnsi="宋体"/>
          <w:b/>
          <w:bCs/>
          <w:color w:val="auto"/>
          <w:sz w:val="24"/>
          <w:highlight w:val="none"/>
        </w:rPr>
        <w:t>（七）证明服务的合格性和符合招标文件规定的文件</w:t>
      </w:r>
    </w:p>
    <w:p w14:paraId="653A6AA3">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1.投标人应提交本项目所有服务的合格性以及符合招标文件规定的证明文件，并作为其投标文件的一部分。</w:t>
      </w:r>
    </w:p>
    <w:p w14:paraId="43A649DB">
      <w:pPr>
        <w:shd w:val="clear"/>
        <w:spacing w:after="0" w:line="360" w:lineRule="auto"/>
        <w:ind w:right="-2" w:firstLine="480"/>
        <w:outlineLvl w:val="0"/>
        <w:rPr>
          <w:rFonts w:hint="eastAsia" w:ascii="宋体" w:hAnsi="宋体"/>
          <w:bCs/>
          <w:color w:val="auto"/>
          <w:sz w:val="24"/>
          <w:highlight w:val="none"/>
        </w:rPr>
      </w:pPr>
      <w:r>
        <w:rPr>
          <w:rFonts w:hint="eastAsia" w:ascii="宋体" w:hAnsi="宋体"/>
          <w:color w:val="auto"/>
          <w:sz w:val="24"/>
          <w:highlight w:val="none"/>
        </w:rPr>
        <w:t>2.服务与招标文件的要求相一致，文件可以是文字资料、图纸和数据。</w:t>
      </w:r>
    </w:p>
    <w:p w14:paraId="1A905B27">
      <w:pPr>
        <w:shd w:val="clear"/>
        <w:spacing w:after="0" w:line="360" w:lineRule="auto"/>
        <w:ind w:right="-2" w:firstLine="361" w:firstLineChars="150"/>
        <w:rPr>
          <w:rFonts w:hint="default" w:ascii="宋体" w:hAnsi="宋体" w:eastAsia="宋体"/>
          <w:b/>
          <w:bCs/>
          <w:color w:val="auto"/>
          <w:sz w:val="24"/>
          <w:highlight w:val="none"/>
          <w:lang w:val="en-US" w:eastAsia="zh-CN"/>
        </w:rPr>
      </w:pPr>
      <w:r>
        <w:rPr>
          <w:rFonts w:hint="eastAsia" w:ascii="宋体" w:hAnsi="宋体"/>
          <w:b/>
          <w:bCs/>
          <w:color w:val="auto"/>
          <w:sz w:val="24"/>
          <w:highlight w:val="none"/>
        </w:rPr>
        <w:t>（八）投标保证金</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无。</w:t>
      </w:r>
    </w:p>
    <w:p w14:paraId="162FB8F6">
      <w:pPr>
        <w:shd w:val="clear"/>
        <w:spacing w:after="0" w:line="360" w:lineRule="auto"/>
        <w:ind w:right="-2" w:firstLine="424" w:firstLineChars="176"/>
        <w:outlineLvl w:val="0"/>
        <w:rPr>
          <w:rFonts w:hint="eastAsia" w:ascii="宋体" w:hAnsi="宋体"/>
          <w:color w:val="auto"/>
          <w:sz w:val="24"/>
          <w:highlight w:val="none"/>
        </w:rPr>
      </w:pPr>
      <w:r>
        <w:rPr>
          <w:rFonts w:hint="eastAsia" w:ascii="宋体" w:hAnsi="宋体"/>
          <w:b/>
          <w:bCs/>
          <w:color w:val="auto"/>
          <w:sz w:val="24"/>
          <w:highlight w:val="none"/>
        </w:rPr>
        <w:t>（九）投标有效期</w:t>
      </w:r>
    </w:p>
    <w:p w14:paraId="30138FCE">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1.所有投标应从开标之日起，90个日历日计算的投标有效期内有效。</w:t>
      </w:r>
    </w:p>
    <w:p w14:paraId="0AAAF52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在特殊情况下，在原投标有效期期满之前，招标代理人可征得投标人同意延长投标有效期。这种要求和答复均应为书面形式（如传真等）。投标人可以拒绝招标代理人的这种要求而不被没收投标保证金。同意延长的投标人不允许修改其投标文件，但要相应延长其投标保证金的有效期。</w:t>
      </w:r>
    </w:p>
    <w:p w14:paraId="3370F5C8">
      <w:pPr>
        <w:shd w:val="clear"/>
        <w:spacing w:after="0" w:line="360" w:lineRule="auto"/>
        <w:ind w:right="-2" w:firstLine="424" w:firstLineChars="176"/>
        <w:rPr>
          <w:rFonts w:hint="eastAsia" w:ascii="宋体" w:hAnsi="宋体"/>
          <w:b/>
          <w:bCs/>
          <w:color w:val="auto"/>
          <w:sz w:val="24"/>
          <w:highlight w:val="none"/>
        </w:rPr>
      </w:pPr>
      <w:r>
        <w:rPr>
          <w:rFonts w:hint="eastAsia" w:ascii="宋体" w:hAnsi="宋体"/>
          <w:b/>
          <w:bCs/>
          <w:color w:val="auto"/>
          <w:sz w:val="24"/>
          <w:highlight w:val="none"/>
        </w:rPr>
        <w:t>（十）投标文件的式样和签署</w:t>
      </w:r>
    </w:p>
    <w:p w14:paraId="65F766B4">
      <w:pPr>
        <w:shd w:val="clear"/>
        <w:spacing w:after="0" w:line="360" w:lineRule="auto"/>
        <w:ind w:right="-2" w:firstLine="480" w:firstLineChars="200"/>
        <w:rPr>
          <w:rFonts w:hint="eastAsia" w:ascii="宋体" w:hAnsi="宋体"/>
          <w:color w:val="auto"/>
          <w:sz w:val="24"/>
          <w:highlight w:val="none"/>
          <w:lang w:val="en-US"/>
        </w:rPr>
      </w:pPr>
      <w:r>
        <w:rPr>
          <w:rFonts w:hint="eastAsia" w:ascii="宋体" w:hAnsi="宋体"/>
          <w:color w:val="auto"/>
          <w:sz w:val="24"/>
          <w:highlight w:val="none"/>
          <w:lang w:val="en-US"/>
        </w:rPr>
        <w:t>1.</w:t>
      </w:r>
      <w:r>
        <w:rPr>
          <w:rFonts w:hint="eastAsia" w:ascii="宋体" w:hAnsi="宋体"/>
          <w:color w:val="auto"/>
          <w:sz w:val="24"/>
          <w:highlight w:val="none"/>
        </w:rPr>
        <w:t>投标人应使用投标客户端编制投标文件</w:t>
      </w:r>
      <w:r>
        <w:rPr>
          <w:rFonts w:hint="eastAsia" w:ascii="宋体" w:hAnsi="宋体"/>
          <w:color w:val="auto"/>
          <w:sz w:val="24"/>
          <w:highlight w:val="none"/>
          <w:lang w:val="en-US"/>
        </w:rPr>
        <w:t>，（</w:t>
      </w:r>
      <w:r>
        <w:rPr>
          <w:rFonts w:hint="eastAsia" w:ascii="宋体" w:hAnsi="宋体"/>
          <w:color w:val="auto"/>
          <w:sz w:val="24"/>
          <w:highlight w:val="none"/>
        </w:rPr>
        <w:t>下载地址</w:t>
      </w:r>
      <w:r>
        <w:rPr>
          <w:rFonts w:hint="eastAsia" w:ascii="宋体" w:hAnsi="宋体"/>
          <w:color w:val="auto"/>
          <w:sz w:val="24"/>
          <w:highlight w:val="none"/>
          <w:lang w:val="en-US"/>
        </w:rPr>
        <w:t>：http://www.dlygcg.com/site/category?parentId=610974&amp;childrenCode=137-780081），</w:t>
      </w:r>
      <w:r>
        <w:rPr>
          <w:rFonts w:hint="eastAsia" w:ascii="宋体" w:hAnsi="宋体"/>
          <w:color w:val="auto"/>
          <w:sz w:val="24"/>
          <w:highlight w:val="none"/>
        </w:rPr>
        <w:t>凭数字证书</w:t>
      </w:r>
      <w:r>
        <w:rPr>
          <w:rFonts w:hint="eastAsia" w:ascii="宋体" w:hAnsi="宋体"/>
          <w:color w:val="auto"/>
          <w:sz w:val="24"/>
          <w:highlight w:val="none"/>
          <w:lang w:val="en-US"/>
        </w:rPr>
        <w:t>（CA）</w:t>
      </w:r>
      <w:r>
        <w:rPr>
          <w:rFonts w:hint="eastAsia" w:ascii="宋体" w:hAnsi="宋体"/>
          <w:color w:val="auto"/>
          <w:sz w:val="24"/>
          <w:highlight w:val="none"/>
        </w:rPr>
        <w:t>在线递交符合规定格式要求的投标文件</w:t>
      </w:r>
      <w:r>
        <w:rPr>
          <w:rFonts w:hint="eastAsia" w:ascii="宋体" w:hAnsi="宋体"/>
          <w:color w:val="auto"/>
          <w:sz w:val="24"/>
          <w:highlight w:val="none"/>
          <w:lang w:val="en-US"/>
        </w:rPr>
        <w:t>，</w:t>
      </w:r>
      <w:r>
        <w:rPr>
          <w:rFonts w:hint="eastAsia" w:ascii="宋体" w:hAnsi="宋体"/>
          <w:color w:val="auto"/>
          <w:sz w:val="24"/>
          <w:highlight w:val="none"/>
        </w:rPr>
        <w:t>投标文件需要投标人凭数字证书</w:t>
      </w:r>
      <w:r>
        <w:rPr>
          <w:rFonts w:hint="eastAsia" w:ascii="宋体" w:hAnsi="宋体"/>
          <w:color w:val="auto"/>
          <w:sz w:val="24"/>
          <w:highlight w:val="none"/>
          <w:lang w:val="en-US"/>
        </w:rPr>
        <w:t>（CA）</w:t>
      </w:r>
      <w:r>
        <w:rPr>
          <w:rFonts w:hint="eastAsia" w:ascii="宋体" w:hAnsi="宋体"/>
          <w:color w:val="auto"/>
          <w:sz w:val="24"/>
          <w:highlight w:val="none"/>
        </w:rPr>
        <w:t>进行在线解密。</w:t>
      </w:r>
    </w:p>
    <w:p w14:paraId="3B302B9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2.投标人开标时CA在线解密形式的电子投标文件一定是加密文件格式，否则投标文件按无效投标文件处理。</w:t>
      </w:r>
    </w:p>
    <w:p w14:paraId="13AD076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3.开标现场如投标人生成的电子版投标文件用CA锁进行现场解密时提示未提交投标文件，投标人的投标文件按无效投标文件处理。</w:t>
      </w:r>
    </w:p>
    <w:p w14:paraId="1A559CC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4.投标人上传的投标文件必须有投标人CA锁签章，无投标人CA锁签章的投标文件按无效投标文件处理。</w:t>
      </w:r>
    </w:p>
    <w:p w14:paraId="4AD83DBB">
      <w:pPr>
        <w:shd w:val="clear"/>
        <w:spacing w:after="0" w:line="360" w:lineRule="auto"/>
        <w:ind w:right="-2" w:firstLine="480" w:firstLineChars="200"/>
        <w:rPr>
          <w:rFonts w:hint="eastAsia" w:ascii="宋体" w:hAnsi="宋体"/>
          <w:color w:val="auto"/>
          <w:sz w:val="24"/>
          <w:highlight w:val="none"/>
        </w:rPr>
      </w:pPr>
    </w:p>
    <w:p w14:paraId="65C8A8B5">
      <w:pPr>
        <w:shd w:val="clear"/>
        <w:spacing w:after="0" w:line="360" w:lineRule="auto"/>
        <w:ind w:right="-2" w:firstLine="361" w:firstLineChars="100"/>
        <w:jc w:val="center"/>
        <w:outlineLvl w:val="0"/>
        <w:rPr>
          <w:rFonts w:hint="eastAsia" w:ascii="宋体" w:hAnsi="宋体"/>
          <w:b/>
          <w:color w:val="auto"/>
          <w:sz w:val="36"/>
          <w:szCs w:val="36"/>
          <w:highlight w:val="none"/>
        </w:rPr>
      </w:pPr>
      <w:r>
        <w:rPr>
          <w:rFonts w:hint="eastAsia" w:ascii="宋体" w:hAnsi="宋体"/>
          <w:b/>
          <w:bCs/>
          <w:color w:val="auto"/>
          <w:sz w:val="36"/>
          <w:szCs w:val="36"/>
          <w:highlight w:val="none"/>
        </w:rPr>
        <w:t>四、投标文件的递交</w:t>
      </w:r>
    </w:p>
    <w:p w14:paraId="7B0D5873">
      <w:pPr>
        <w:shd w:val="clear"/>
        <w:spacing w:after="0" w:line="360" w:lineRule="auto"/>
        <w:ind w:right="-2" w:firstLine="480"/>
        <w:rPr>
          <w:rFonts w:hint="eastAsia" w:ascii="宋体" w:hAnsi="宋体"/>
          <w:b/>
          <w:bCs/>
          <w:color w:val="auto"/>
          <w:sz w:val="24"/>
          <w:highlight w:val="none"/>
        </w:rPr>
      </w:pPr>
      <w:bookmarkStart w:id="8" w:name="_Toc188262991"/>
      <w:r>
        <w:rPr>
          <w:rFonts w:hint="eastAsia" w:ascii="宋体" w:hAnsi="宋体"/>
          <w:b/>
          <w:bCs/>
          <w:color w:val="auto"/>
          <w:sz w:val="24"/>
          <w:highlight w:val="none"/>
        </w:rPr>
        <w:t>（一）投标文件的密封和标记</w:t>
      </w:r>
      <w:bookmarkEnd w:id="8"/>
    </w:p>
    <w:p w14:paraId="0C039BA9">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在线递交投标文件。详见投标人须知前附表。</w:t>
      </w:r>
    </w:p>
    <w:p w14:paraId="0284C006">
      <w:pPr>
        <w:shd w:val="clear"/>
        <w:spacing w:after="0" w:line="360" w:lineRule="auto"/>
        <w:ind w:right="-2" w:firstLine="480"/>
        <w:rPr>
          <w:rFonts w:hint="eastAsia" w:ascii="宋体" w:hAnsi="宋体"/>
          <w:b/>
          <w:bCs/>
          <w:color w:val="auto"/>
          <w:sz w:val="24"/>
          <w:highlight w:val="none"/>
        </w:rPr>
      </w:pPr>
      <w:bookmarkStart w:id="9" w:name="_Toc188262992"/>
      <w:r>
        <w:rPr>
          <w:rFonts w:hint="eastAsia" w:ascii="宋体" w:hAnsi="宋体"/>
          <w:b/>
          <w:bCs/>
          <w:color w:val="auto"/>
          <w:sz w:val="24"/>
          <w:highlight w:val="none"/>
        </w:rPr>
        <w:t>（二）投标截止时间</w:t>
      </w:r>
      <w:bookmarkEnd w:id="9"/>
    </w:p>
    <w:p w14:paraId="43B136D1">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1.投标单位网络提交投标文件的时间不得迟于“投标邀请函”中规定的开标时间。</w:t>
      </w:r>
    </w:p>
    <w:p w14:paraId="5AD6F550">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2.招标代理机构可以通过修改招标文件依法延长投标截止时间。在此情况下，招标人和投标人受投标截止时间制约的所有权利和义务均应延长至新的截止时间。</w:t>
      </w:r>
    </w:p>
    <w:p w14:paraId="0347649C">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3.投标人应当在招标文件要求提交投标文件的截止时间前，登陆大连国企阳光采购服务平台https://www.dlygcg.com/，凭数字证书(CA)在线上传完成符合规定格式要求的投标文件。</w:t>
      </w:r>
    </w:p>
    <w:p w14:paraId="7B0DB76B">
      <w:pPr>
        <w:shd w:val="clear"/>
        <w:spacing w:after="0" w:line="360" w:lineRule="auto"/>
        <w:ind w:right="-2" w:firstLine="480"/>
        <w:rPr>
          <w:rFonts w:hint="eastAsia" w:ascii="宋体" w:hAnsi="宋体"/>
          <w:b/>
          <w:bCs/>
          <w:color w:val="auto"/>
          <w:sz w:val="24"/>
          <w:highlight w:val="none"/>
        </w:rPr>
      </w:pPr>
      <w:bookmarkStart w:id="10" w:name="_Toc188262993"/>
      <w:r>
        <w:rPr>
          <w:rFonts w:hint="eastAsia" w:ascii="宋体" w:hAnsi="宋体"/>
          <w:b/>
          <w:bCs/>
          <w:color w:val="auto"/>
          <w:sz w:val="24"/>
          <w:highlight w:val="none"/>
        </w:rPr>
        <w:t>（三）逾期送达的投标文件</w:t>
      </w:r>
      <w:bookmarkEnd w:id="10"/>
    </w:p>
    <w:p w14:paraId="57D20909">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投标人在投标截止时间后提交的任何投标文件均无效。</w:t>
      </w:r>
    </w:p>
    <w:p w14:paraId="45DE7D65">
      <w:pPr>
        <w:shd w:val="clear"/>
        <w:spacing w:after="0" w:line="360" w:lineRule="auto"/>
        <w:ind w:right="-2" w:firstLine="480"/>
        <w:rPr>
          <w:rFonts w:hint="eastAsia" w:ascii="宋体" w:hAnsi="宋体"/>
          <w:b/>
          <w:bCs/>
          <w:color w:val="auto"/>
          <w:sz w:val="24"/>
          <w:highlight w:val="none"/>
        </w:rPr>
      </w:pPr>
      <w:bookmarkStart w:id="11" w:name="_Toc188262994"/>
      <w:r>
        <w:rPr>
          <w:rFonts w:hint="eastAsia" w:ascii="宋体" w:hAnsi="宋体"/>
          <w:b/>
          <w:bCs/>
          <w:color w:val="auto"/>
          <w:sz w:val="24"/>
          <w:highlight w:val="none"/>
        </w:rPr>
        <w:t>（四）投标文件的修改和撤回</w:t>
      </w:r>
      <w:bookmarkEnd w:id="11"/>
    </w:p>
    <w:p w14:paraId="06EE139A">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1.投标人在递交投标文件后，投标截止时间前可以修改或撤回其投标文件。</w:t>
      </w:r>
    </w:p>
    <w:p w14:paraId="38128D1C">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2.在投标截止时间之后，投标人不得对其投标文件做任何修改。</w:t>
      </w:r>
    </w:p>
    <w:p w14:paraId="157899BA">
      <w:pPr>
        <w:shd w:val="clear"/>
        <w:spacing w:after="0" w:line="360" w:lineRule="auto"/>
        <w:ind w:right="-2" w:firstLine="480"/>
        <w:rPr>
          <w:rFonts w:hint="eastAsia" w:ascii="宋体" w:hAnsi="宋体"/>
          <w:color w:val="auto"/>
          <w:sz w:val="24"/>
          <w:highlight w:val="none"/>
        </w:rPr>
      </w:pPr>
    </w:p>
    <w:p w14:paraId="1F84A740">
      <w:pPr>
        <w:shd w:val="clear"/>
        <w:spacing w:after="0" w:line="360" w:lineRule="auto"/>
        <w:ind w:right="-2" w:firstLine="361" w:firstLineChars="100"/>
        <w:jc w:val="center"/>
        <w:outlineLvl w:val="0"/>
        <w:rPr>
          <w:rFonts w:hint="eastAsia" w:ascii="宋体" w:hAnsi="宋体"/>
          <w:b/>
          <w:color w:val="auto"/>
          <w:sz w:val="36"/>
          <w:szCs w:val="36"/>
          <w:highlight w:val="none"/>
        </w:rPr>
      </w:pPr>
      <w:r>
        <w:rPr>
          <w:rFonts w:hint="eastAsia" w:ascii="宋体" w:hAnsi="宋体"/>
          <w:b/>
          <w:bCs/>
          <w:color w:val="auto"/>
          <w:sz w:val="36"/>
          <w:szCs w:val="36"/>
          <w:highlight w:val="none"/>
        </w:rPr>
        <w:t>五、开标与评标</w:t>
      </w:r>
    </w:p>
    <w:p w14:paraId="6CC393A6">
      <w:pPr>
        <w:shd w:val="clear"/>
        <w:spacing w:after="0" w:line="360" w:lineRule="auto"/>
        <w:ind w:right="-2" w:firstLine="482" w:firstLineChars="200"/>
        <w:rPr>
          <w:rFonts w:hint="eastAsia" w:ascii="宋体" w:hAnsi="宋体"/>
          <w:b/>
          <w:bCs/>
          <w:color w:val="auto"/>
          <w:sz w:val="24"/>
          <w:highlight w:val="none"/>
        </w:rPr>
      </w:pPr>
      <w:bookmarkStart w:id="12" w:name="_Toc188262996"/>
      <w:r>
        <w:rPr>
          <w:rFonts w:hint="eastAsia" w:ascii="宋体" w:hAnsi="宋体"/>
          <w:b/>
          <w:bCs/>
          <w:color w:val="auto"/>
          <w:sz w:val="24"/>
          <w:highlight w:val="none"/>
        </w:rPr>
        <w:t>（一）开标</w:t>
      </w:r>
      <w:bookmarkEnd w:id="12"/>
    </w:p>
    <w:p w14:paraId="044D584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1.招标代理人将在远程线上不见面开标。</w:t>
      </w:r>
    </w:p>
    <w:p w14:paraId="164FB82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2.电子开标时，各投标人需要凭数字证书（CA）在线解密。</w:t>
      </w:r>
    </w:p>
    <w:p w14:paraId="746BB26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3.电子开标时，投标人不足3家的，不得开标。</w:t>
      </w:r>
    </w:p>
    <w:p w14:paraId="40B74D4B">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4.投标文件解密时间：30分钟内。投标人应在规定的投标文件解密时间内完成投标文件解密操作。</w:t>
      </w:r>
    </w:p>
    <w:p w14:paraId="29FD205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5.投标人须在开标系统中生成的开标记录表上签章确认。投标人未在5分钟内确认开标结果的，视同认可开标结果。</w:t>
      </w:r>
    </w:p>
    <w:p w14:paraId="75D0AC21">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6.投标人代表对开标过程和开标记录有异议的，应在线提交异议。招标人、采购代理机构对投标人代表提出异议应当及时处理。</w:t>
      </w:r>
    </w:p>
    <w:p w14:paraId="7675124E">
      <w:pPr>
        <w:shd w:val="clear"/>
        <w:spacing w:after="0" w:line="360" w:lineRule="auto"/>
        <w:ind w:right="-2" w:firstLine="482" w:firstLineChars="200"/>
        <w:rPr>
          <w:rFonts w:hint="eastAsia" w:ascii="宋体" w:hAnsi="宋体"/>
          <w:b/>
          <w:bCs/>
          <w:color w:val="auto"/>
          <w:sz w:val="24"/>
          <w:highlight w:val="none"/>
        </w:rPr>
      </w:pPr>
      <w:bookmarkStart w:id="13" w:name="_Toc188262997"/>
      <w:r>
        <w:rPr>
          <w:rFonts w:hint="eastAsia" w:ascii="宋体" w:hAnsi="宋体"/>
          <w:b/>
          <w:bCs/>
          <w:color w:val="auto"/>
          <w:sz w:val="24"/>
          <w:highlight w:val="none"/>
        </w:rPr>
        <w:t>（二）评标委员会的组成</w:t>
      </w:r>
      <w:bookmarkEnd w:id="13"/>
    </w:p>
    <w:p w14:paraId="4A05369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1.本项目招标依法组建评标委员会，评标委员会由招标人代表以及随机抽取的技术、经济等方面的专家组成，成员人数为五人以上的单数，其中技术、经济等方面的专家不少于成员总数的三分之二。</w:t>
      </w:r>
    </w:p>
    <w:p w14:paraId="5B57B48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2.与投标人有利害关系的人不得进入评标委员会。</w:t>
      </w:r>
    </w:p>
    <w:p w14:paraId="39163ED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招标人、招标代理机构应当采取必要措施，保证评标在严格保密的情况下进行。除招标人代表、评标现场组织人员外，招标人的其他工作人员以及与评标工作无关的人员不得进入评标现场。有关人员对评标情况及在评标过程中获悉的国家秘密、商业秘密负有保密责任。</w:t>
      </w:r>
    </w:p>
    <w:p w14:paraId="778828BB">
      <w:pPr>
        <w:shd w:val="clear"/>
        <w:spacing w:after="0" w:line="360" w:lineRule="auto"/>
        <w:ind w:right="-2" w:firstLine="482" w:firstLineChars="200"/>
        <w:rPr>
          <w:rFonts w:hint="eastAsia" w:ascii="宋体" w:hAnsi="宋体"/>
          <w:b/>
          <w:bCs/>
          <w:color w:val="auto"/>
          <w:sz w:val="24"/>
          <w:highlight w:val="none"/>
        </w:rPr>
      </w:pPr>
      <w:bookmarkStart w:id="14" w:name="_Toc188262998"/>
      <w:r>
        <w:rPr>
          <w:rFonts w:hint="eastAsia" w:ascii="宋体" w:hAnsi="宋体"/>
          <w:b/>
          <w:bCs/>
          <w:color w:val="auto"/>
          <w:sz w:val="24"/>
          <w:highlight w:val="none"/>
        </w:rPr>
        <w:t>（三）评标过程的保密性</w:t>
      </w:r>
      <w:bookmarkEnd w:id="14"/>
    </w:p>
    <w:p w14:paraId="5CB8358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1.公开开标后，直至向中标候选人授予合同时止，凡与审查、澄清、评价和比较投标有关的资料以及授标意见等，均不得向投标人及与评标无关的其他人员透露。</w:t>
      </w:r>
    </w:p>
    <w:p w14:paraId="319C3D3B">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2.在评标过程中，投标人试图影响招标人在投标文件审查、澄清、比较及授予合同方面的任何尝试，可能导致该投标人的投标被废除。</w:t>
      </w:r>
    </w:p>
    <w:p w14:paraId="5C262BCE">
      <w:pPr>
        <w:shd w:val="clear"/>
        <w:spacing w:after="0" w:line="360" w:lineRule="auto"/>
        <w:ind w:right="-2" w:firstLine="482" w:firstLineChars="200"/>
        <w:rPr>
          <w:rFonts w:hint="eastAsia" w:ascii="宋体" w:hAnsi="宋体"/>
          <w:b/>
          <w:bCs/>
          <w:color w:val="auto"/>
          <w:sz w:val="24"/>
          <w:highlight w:val="none"/>
        </w:rPr>
      </w:pPr>
      <w:bookmarkStart w:id="15" w:name="_Toc188262999"/>
      <w:r>
        <w:rPr>
          <w:rFonts w:hint="eastAsia" w:ascii="宋体" w:hAnsi="宋体"/>
          <w:b/>
          <w:bCs/>
          <w:color w:val="auto"/>
          <w:sz w:val="24"/>
          <w:highlight w:val="none"/>
        </w:rPr>
        <w:t>（四）投标文件的澄清</w:t>
      </w:r>
      <w:bookmarkEnd w:id="15"/>
    </w:p>
    <w:p w14:paraId="19BDA0E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为有助于对投标文件的审查、评价和比较，评标委员会可分别要求投标人对其投标文件进行澄清，有关澄清的要求和答复应以书面形式提交，但不得寻求或允许对投标价格或实质性内容做任何更改。</w:t>
      </w:r>
    </w:p>
    <w:p w14:paraId="3A7844EF">
      <w:pPr>
        <w:shd w:val="clear"/>
        <w:spacing w:after="0" w:line="360" w:lineRule="auto"/>
        <w:ind w:right="-2" w:firstLine="482" w:firstLineChars="200"/>
        <w:rPr>
          <w:rFonts w:hint="eastAsia" w:ascii="宋体" w:hAnsi="宋体"/>
          <w:b/>
          <w:bCs/>
          <w:color w:val="auto"/>
          <w:sz w:val="24"/>
          <w:highlight w:val="none"/>
        </w:rPr>
      </w:pPr>
      <w:bookmarkStart w:id="16" w:name="_Toc188263000"/>
      <w:r>
        <w:rPr>
          <w:rFonts w:hint="eastAsia" w:ascii="宋体" w:hAnsi="宋体"/>
          <w:b/>
          <w:bCs/>
          <w:color w:val="auto"/>
          <w:sz w:val="24"/>
          <w:highlight w:val="none"/>
        </w:rPr>
        <w:t>（五）投标文件的审查</w:t>
      </w:r>
      <w:bookmarkEnd w:id="16"/>
    </w:p>
    <w:p w14:paraId="31B5C19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1.开标后，评标委员会将审查投标文件是否完整，有无计算错误，是否提交了投标保证金，文件签署是否合格，投标文件是否大体编排有序。</w:t>
      </w:r>
    </w:p>
    <w:p w14:paraId="3B93AFB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2.投标文件有下列情况之一的，投标文件无效：</w:t>
      </w:r>
    </w:p>
    <w:p w14:paraId="7B28918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（1）营业执照、税务登记证、组织机构代码证不符合要求情况；</w:t>
      </w:r>
    </w:p>
    <w:p w14:paraId="6A3DEAA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（2）经查询，被列入失信被执行人、重大税收违法案件当事人名单的；</w:t>
      </w:r>
    </w:p>
    <w:p w14:paraId="13B12AF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（3）查询存在重大违法记录；</w:t>
      </w:r>
    </w:p>
    <w:p w14:paraId="2EB0CE8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（4）未提供信用承诺书；</w:t>
      </w:r>
    </w:p>
    <w:p w14:paraId="49218E31">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（5）投标有效期不满足招标文件要求；</w:t>
      </w:r>
    </w:p>
    <w:p w14:paraId="72F2F89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（6）投标文件完整性不符合招标文件实质性要求；</w:t>
      </w:r>
    </w:p>
    <w:p w14:paraId="4974761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（7）投标人投标报价超出</w:t>
      </w:r>
      <w:r>
        <w:rPr>
          <w:rFonts w:hint="eastAsia" w:ascii="宋体" w:hAnsi="宋体"/>
          <w:color w:val="auto"/>
          <w:sz w:val="24"/>
          <w:highlight w:val="none"/>
          <w:lang w:val="en-US" w:eastAsia="zh-CN"/>
        </w:rPr>
        <w:t>招标</w:t>
      </w:r>
      <w:r>
        <w:rPr>
          <w:rFonts w:hint="eastAsia" w:ascii="宋体" w:hAnsi="宋体"/>
          <w:color w:val="auto"/>
          <w:sz w:val="24"/>
          <w:highlight w:val="none"/>
        </w:rPr>
        <w:t>预算、最高限价；</w:t>
      </w:r>
    </w:p>
    <w:p w14:paraId="669FD39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（8）投标文件签署不符合招标文件实质性要求；</w:t>
      </w:r>
    </w:p>
    <w:p w14:paraId="3CDB246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（9）没有按照招标文件规定报价，存在漏项；</w:t>
      </w:r>
    </w:p>
    <w:p w14:paraId="08A64F6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（10）发现投标人涂改证明材料或者提供虚假材料；</w:t>
      </w:r>
    </w:p>
    <w:p w14:paraId="6FBF410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（11）发现其他不符合法律法规规定的实质性要求；</w:t>
      </w:r>
    </w:p>
    <w:p w14:paraId="199DE68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（12）对“★”条款未做出实质性响应，发生重大偏离；</w:t>
      </w:r>
    </w:p>
    <w:p w14:paraId="61F5EA0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在详细评标之前，评标委员会要审查每份投标文件是否实质上响应了招标文件的要求。实质上响应的投标文件应该是与招标文件要求的全部实质性条款、条件和规格相符，没有重大偏离或保留的投标。所谓重大偏离或保留是指实质上影响合同的服务范围、质量或者实质上与招标文件不一致，而且限制了招标人的权利或投标人的义务。纠正这些偏离或保留将会对其他实质上响应招标文件要求的投标人的竞争地位产生不公正的影响。评标委员会决定投标的响应性只根据投标文件本身的内容，而不寻求外部的证据。</w:t>
      </w:r>
    </w:p>
    <w:p w14:paraId="59D7312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4.如果投标文件实质上没有响应招标文件的要求，评标委员会将予以拒绝，投标人不得通过修正或撤销不合要求的偏离或保留从而使其投标成为实质上响应的投标。</w:t>
      </w:r>
    </w:p>
    <w:p w14:paraId="049720E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5.评标委员会将对确定为实质上响应的投标进行审核，看其是否有计算上和累加上的算术错误，修正错误的原则如下：</w:t>
      </w:r>
    </w:p>
    <w:p w14:paraId="15B8171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（1）如果投标文件的大写金额和小写金额不一致的，以大写金额为准；</w:t>
      </w:r>
    </w:p>
    <w:p w14:paraId="5FAFAB4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（2）当总价金额与按单价汇总金额不一致的，以单价金额计算结果为准；</w:t>
      </w:r>
    </w:p>
    <w:p w14:paraId="2468275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（3）当单价金额小数点有明显错位的，应以总价为准，并修改单价；</w:t>
      </w:r>
    </w:p>
    <w:p w14:paraId="5D5B9F6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（4）当开标一览表与投标文件报价不符时，应以开标一览表为准。</w:t>
      </w:r>
    </w:p>
    <w:p w14:paraId="70FED1A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 评标委员会将按上述修正错误的方法调整投标文件中的投标报价，调整后的价格对投标人具有约束力。如果投标人不接受修正后的价格，则其投标将被拒绝。</w:t>
      </w:r>
    </w:p>
    <w:p w14:paraId="3730563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7.评标委员会将允许修正投标文件中不构成重大偏差的、微小的、非正规的、不一致的或不规则的地方，但这些修正不能影响任何投标人相应的名次排序。</w:t>
      </w:r>
    </w:p>
    <w:p w14:paraId="42215BC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8.评标委员会认为投标人的报价明显低于其他通过符合性审查投标人的报价，有可能影响产品质量或者不能诚信履约的，可在评标现场要求合理的时间内提供书面说明，必要时提交相关证明材料；投标人不能证明其报价合理性的，评标委员会应当将其作为无效投标处理。</w:t>
      </w:r>
    </w:p>
    <w:p w14:paraId="549B483E">
      <w:pPr>
        <w:shd w:val="clear"/>
        <w:spacing w:after="0" w:line="360" w:lineRule="auto"/>
        <w:ind w:right="-2" w:firstLine="482" w:firstLineChars="200"/>
        <w:rPr>
          <w:rFonts w:hint="eastAsia" w:ascii="宋体" w:hAnsi="宋体"/>
          <w:b/>
          <w:bCs/>
          <w:color w:val="auto"/>
          <w:sz w:val="24"/>
          <w:highlight w:val="none"/>
        </w:rPr>
      </w:pPr>
      <w:bookmarkStart w:id="17" w:name="_Toc188263001"/>
      <w:r>
        <w:rPr>
          <w:rFonts w:hint="eastAsia" w:ascii="宋体" w:hAnsi="宋体"/>
          <w:b/>
          <w:bCs/>
          <w:color w:val="auto"/>
          <w:sz w:val="24"/>
          <w:highlight w:val="none"/>
        </w:rPr>
        <w:t>（六）串标</w:t>
      </w:r>
      <w:bookmarkEnd w:id="17"/>
    </w:p>
    <w:p w14:paraId="7155E87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在评审过程中，评标委员会发现投标人有串通投标行为的，相关投标人的投标文件作无效投标文件处理。</w:t>
      </w:r>
    </w:p>
    <w:p w14:paraId="1DD8C02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有下列情形之一的，视为投标人串通投标，其投标无效：</w:t>
      </w:r>
    </w:p>
    <w:p w14:paraId="138A83C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1.不同投标人的投标文件由同一单位或者个人编制；</w:t>
      </w:r>
    </w:p>
    <w:p w14:paraId="5DC7FEAE">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2.不同投标人委托同一单位或者个人办理投标事宜；</w:t>
      </w:r>
    </w:p>
    <w:p w14:paraId="41C9730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3.不同投标人的投标文件载明的项目管理成员或者联系人员为同一人；</w:t>
      </w:r>
    </w:p>
    <w:p w14:paraId="1C8CC8D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4.不同投标人的投标文件异常一致或者投标报价呈规律性差异；</w:t>
      </w:r>
    </w:p>
    <w:p w14:paraId="4645A62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5.不同投标人的投标文件相互混装；</w:t>
      </w:r>
    </w:p>
    <w:p w14:paraId="6263EBE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6.投标人串通投标的其他情形。</w:t>
      </w:r>
    </w:p>
    <w:p w14:paraId="6347ABD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对认定属于串通投标的，相关投标人的投标文件作无效投标文件处理，并报送相关主管机构依法进行处理。</w:t>
      </w:r>
    </w:p>
    <w:p w14:paraId="6911EDA0">
      <w:pPr>
        <w:shd w:val="clear"/>
        <w:spacing w:after="0" w:line="360" w:lineRule="auto"/>
        <w:ind w:right="-2" w:firstLine="482" w:firstLineChars="200"/>
        <w:rPr>
          <w:rFonts w:hint="eastAsia" w:ascii="宋体" w:hAnsi="宋体"/>
          <w:b/>
          <w:bCs/>
          <w:color w:val="auto"/>
          <w:sz w:val="24"/>
          <w:highlight w:val="none"/>
        </w:rPr>
      </w:pPr>
      <w:bookmarkStart w:id="18" w:name="_Toc188263002"/>
      <w:r>
        <w:rPr>
          <w:rFonts w:hint="eastAsia" w:ascii="宋体" w:hAnsi="宋体"/>
          <w:b/>
          <w:bCs/>
          <w:color w:val="auto"/>
          <w:sz w:val="24"/>
          <w:highlight w:val="none"/>
        </w:rPr>
        <w:t>（七）评标原则及方法：</w:t>
      </w:r>
      <w:bookmarkEnd w:id="18"/>
    </w:p>
    <w:p w14:paraId="66E6455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1.招标文件是评标工作的重要依据。投标人的投标文件必须满足招标文件的各项要求：包括投标文件的有效性、完整性和与招标文件的一致性。</w:t>
      </w:r>
    </w:p>
    <w:p w14:paraId="3720315B">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2.评标应严格按照《中华人民共和国招标投标法》等法律法规规定的评标要求，以及招标文件的要求进行。</w:t>
      </w:r>
    </w:p>
    <w:p w14:paraId="068256F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3.对所有投标人的评价、评估，都采用相同的程序和标准，遵循公开、公平、公正的原则。</w:t>
      </w:r>
    </w:p>
    <w:p w14:paraId="3DA8874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4.本项目的评标办法采用综合评分法，具体评分方法详见附件</w:t>
      </w:r>
      <w:r>
        <w:rPr>
          <w:rFonts w:hint="eastAsia" w:ascii="宋体" w:hAnsi="宋体"/>
          <w:color w:val="auto"/>
          <w:sz w:val="24"/>
          <w:highlight w:val="none"/>
          <w:lang w:val="en-US" w:eastAsia="zh-CN"/>
        </w:rPr>
        <w:t>3</w:t>
      </w:r>
      <w:r>
        <w:rPr>
          <w:rFonts w:hint="eastAsia" w:ascii="宋体" w:hAnsi="宋体"/>
          <w:color w:val="auto"/>
          <w:sz w:val="24"/>
          <w:highlight w:val="none"/>
        </w:rPr>
        <w:t>。</w:t>
      </w:r>
    </w:p>
    <w:p w14:paraId="442DC45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5.评标委员会将只对确定为实质上响应招标文件的投标文件进行评价和比较。</w:t>
      </w:r>
    </w:p>
    <w:p w14:paraId="490C1A07">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6.评标委员会将按照综合评分法，对</w:t>
      </w:r>
      <w:r>
        <w:rPr>
          <w:rFonts w:hint="eastAsia" w:ascii="宋体" w:hAnsi="宋体"/>
          <w:color w:val="auto"/>
          <w:sz w:val="24"/>
          <w:highlight w:val="none"/>
          <w:lang w:eastAsia="zh-CN"/>
        </w:rPr>
        <w:t>资格</w:t>
      </w:r>
      <w:r>
        <w:rPr>
          <w:rFonts w:hint="eastAsia" w:ascii="宋体" w:hAnsi="宋体"/>
          <w:color w:val="auto"/>
          <w:sz w:val="24"/>
          <w:highlight w:val="none"/>
        </w:rPr>
        <w:t>检查和符合性检查合格的投标文件进行比较与评价。</w:t>
      </w:r>
    </w:p>
    <w:p w14:paraId="25B9163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7.综合评分法是指在满足招标文件实质性要求前提下，按照招标文件中规定的各项因素进行综合评审后，以评标总分得分最高的投标人作为中标候选人或者中标人的评标方法。</w:t>
      </w:r>
    </w:p>
    <w:p w14:paraId="401E0BD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8.评标委员会对经过初步评审为合格有效的各投标人的投标文件进行评审后，由各评委独立打分，打分时保留2位小数，每人一份评分表，并签名。</w:t>
      </w:r>
    </w:p>
    <w:p w14:paraId="58177BB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9.根据投标人的综合得分，计算出投标人的评标总得分，由高到低排出顺序，评标总得分最高的投标人推荐为中标候选人。如果投标人评标总得分相同，报价低的投标人排序在前。得分且投标报价相同的，按技术部分优劣顺序排列。本项目推荐3名中标候选人。</w:t>
      </w:r>
    </w:p>
    <w:p w14:paraId="252DA724">
      <w:pPr>
        <w:shd w:val="clear"/>
        <w:spacing w:after="0" w:line="360" w:lineRule="auto"/>
        <w:ind w:right="-2" w:firstLine="482" w:firstLineChars="200"/>
        <w:rPr>
          <w:rFonts w:hint="eastAsia" w:ascii="宋体" w:hAnsi="宋体"/>
          <w:b/>
          <w:bCs/>
          <w:color w:val="auto"/>
          <w:sz w:val="24"/>
          <w:highlight w:val="none"/>
        </w:rPr>
      </w:pPr>
      <w:r>
        <w:rPr>
          <w:rFonts w:hint="eastAsia" w:ascii="宋体" w:hAnsi="宋体"/>
          <w:b/>
          <w:bCs/>
          <w:color w:val="auto"/>
          <w:sz w:val="24"/>
          <w:highlight w:val="none"/>
        </w:rPr>
        <w:t>（八）中标候选人的推荐</w:t>
      </w:r>
    </w:p>
    <w:p w14:paraId="6A01A38B">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1.评标委员会根据评标结果，推荐合格的中标候选人，本项目推荐</w:t>
      </w:r>
      <w:r>
        <w:rPr>
          <w:rFonts w:hint="eastAsia" w:ascii="宋体" w:hAnsi="宋体"/>
          <w:color w:val="auto"/>
          <w:sz w:val="24"/>
          <w:highlight w:val="none"/>
          <w:lang w:val="en-US" w:eastAsia="zh-CN"/>
        </w:rPr>
        <w:t>1</w:t>
      </w:r>
      <w:r>
        <w:rPr>
          <w:rFonts w:hint="eastAsia" w:ascii="宋体" w:hAnsi="宋体"/>
          <w:color w:val="auto"/>
          <w:sz w:val="24"/>
          <w:highlight w:val="none"/>
        </w:rPr>
        <w:t>名中标候选人。</w:t>
      </w:r>
    </w:p>
    <w:p w14:paraId="711C26D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2.招标人有权对中标候选人履行合同的能力进行审查确认（包括资质、业绩等），如发现舞弊行为，即依法取消其中标候选人资格。</w:t>
      </w:r>
    </w:p>
    <w:p w14:paraId="7D50D0D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3.招标代理人将评标情况形成书面评标报告，送至招标人审查。</w:t>
      </w:r>
    </w:p>
    <w:p w14:paraId="7E31A8A0">
      <w:pPr>
        <w:shd w:val="clear"/>
        <w:spacing w:after="0" w:line="360" w:lineRule="auto"/>
        <w:ind w:right="-2" w:firstLine="482" w:firstLineChars="200"/>
        <w:rPr>
          <w:rFonts w:hint="eastAsia" w:ascii="宋体" w:hAnsi="宋体"/>
          <w:b/>
          <w:bCs/>
          <w:color w:val="auto"/>
          <w:sz w:val="24"/>
          <w:highlight w:val="none"/>
        </w:rPr>
      </w:pPr>
      <w:r>
        <w:rPr>
          <w:rFonts w:hint="eastAsia" w:ascii="宋体" w:hAnsi="宋体"/>
          <w:b/>
          <w:bCs/>
          <w:color w:val="auto"/>
          <w:sz w:val="24"/>
          <w:highlight w:val="none"/>
        </w:rPr>
        <w:t>（九）定标</w:t>
      </w:r>
    </w:p>
    <w:p w14:paraId="28CF19BE">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中标的标准</w:t>
      </w:r>
    </w:p>
    <w:p w14:paraId="3CEB323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1.评标委员会将推荐得分最高的投标人为中标候选人，招标人将依据评标委员会评审意见确定中标人；</w:t>
      </w:r>
    </w:p>
    <w:p w14:paraId="463B64D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2.具有良好的履行合同的能力和条件；</w:t>
      </w:r>
    </w:p>
    <w:p w14:paraId="4791A60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3.保证质量、保证供货期，按照招标文件要求提供售后服务。</w:t>
      </w:r>
    </w:p>
    <w:p w14:paraId="2B5682BF">
      <w:pPr>
        <w:shd w:val="clear"/>
        <w:spacing w:after="0" w:line="360" w:lineRule="auto"/>
        <w:ind w:right="-2" w:firstLine="361" w:firstLineChars="100"/>
        <w:jc w:val="center"/>
        <w:rPr>
          <w:rFonts w:hint="eastAsia" w:ascii="宋体" w:hAnsi="宋体"/>
          <w:b/>
          <w:color w:val="auto"/>
          <w:sz w:val="36"/>
          <w:szCs w:val="36"/>
          <w:highlight w:val="none"/>
        </w:rPr>
      </w:pPr>
      <w:r>
        <w:rPr>
          <w:rFonts w:hint="eastAsia" w:ascii="宋体" w:hAnsi="宋体"/>
          <w:b/>
          <w:bCs/>
          <w:color w:val="auto"/>
          <w:sz w:val="36"/>
          <w:szCs w:val="36"/>
          <w:highlight w:val="none"/>
        </w:rPr>
        <w:t>六、授予合同</w:t>
      </w:r>
    </w:p>
    <w:p w14:paraId="29458C10">
      <w:pPr>
        <w:shd w:val="clear"/>
        <w:spacing w:after="0" w:line="360" w:lineRule="auto"/>
        <w:ind w:right="-2" w:firstLine="361" w:firstLineChars="150"/>
        <w:rPr>
          <w:rFonts w:hint="eastAsia" w:ascii="宋体" w:hAnsi="宋体"/>
          <w:b/>
          <w:color w:val="auto"/>
          <w:sz w:val="28"/>
          <w:szCs w:val="28"/>
          <w:highlight w:val="none"/>
        </w:rPr>
      </w:pPr>
      <w:r>
        <w:rPr>
          <w:rFonts w:hint="eastAsia" w:ascii="宋体" w:hAnsi="宋体"/>
          <w:b/>
          <w:bCs/>
          <w:color w:val="auto"/>
          <w:sz w:val="24"/>
          <w:highlight w:val="none"/>
        </w:rPr>
        <w:t>（一）合同授予标准</w:t>
      </w:r>
    </w:p>
    <w:p w14:paraId="195EB48E">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招标人应将合同授予被确定为实质上响应招标文件要求的，能够圆满地履行合同义务的中标候选人。</w:t>
      </w:r>
    </w:p>
    <w:p w14:paraId="7EBDD7F8">
      <w:pPr>
        <w:shd w:val="clear"/>
        <w:spacing w:after="0" w:line="360" w:lineRule="auto"/>
        <w:ind w:right="-2" w:firstLine="361" w:firstLineChars="150"/>
        <w:rPr>
          <w:rFonts w:hint="eastAsia" w:ascii="宋体" w:hAnsi="宋体"/>
          <w:b/>
          <w:bCs/>
          <w:color w:val="auto"/>
          <w:sz w:val="24"/>
          <w:highlight w:val="none"/>
        </w:rPr>
      </w:pPr>
      <w:r>
        <w:rPr>
          <w:rFonts w:hint="eastAsia" w:ascii="宋体" w:hAnsi="宋体"/>
          <w:b/>
          <w:bCs/>
          <w:color w:val="auto"/>
          <w:sz w:val="24"/>
          <w:highlight w:val="none"/>
        </w:rPr>
        <w:t>（二）中标通知书</w:t>
      </w:r>
    </w:p>
    <w:p w14:paraId="7522F15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中标人确定后，招标代理人应当在2个工作日内向中标人发出中标通知书。中标通知书对招标人和中标人具有法律效力。中标通知书发出后，招标人改变中标结果的，或者中标人放弃中标的，应当依法承担法律责任。</w:t>
      </w:r>
    </w:p>
    <w:p w14:paraId="642E0617">
      <w:pPr>
        <w:shd w:val="clear"/>
        <w:spacing w:after="0" w:line="360" w:lineRule="auto"/>
        <w:ind w:right="-2" w:firstLine="357" w:firstLineChars="148"/>
        <w:rPr>
          <w:rFonts w:hint="eastAsia" w:ascii="宋体" w:hAnsi="宋体"/>
          <w:b/>
          <w:bCs/>
          <w:color w:val="auto"/>
          <w:sz w:val="24"/>
          <w:highlight w:val="none"/>
        </w:rPr>
      </w:pPr>
      <w:r>
        <w:rPr>
          <w:rFonts w:hint="eastAsia" w:ascii="宋体" w:hAnsi="宋体"/>
          <w:b/>
          <w:bCs/>
          <w:color w:val="auto"/>
          <w:sz w:val="24"/>
          <w:highlight w:val="none"/>
        </w:rPr>
        <w:t>（三）签订合同</w:t>
      </w:r>
    </w:p>
    <w:p w14:paraId="3800869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1.中标人在取得中标通知书后应当按有关规定与招标人签订书面合同。招标文件、中标人的投标文件及评标过程中有关澄清、承诺等文件均为该书面合同的有效组成部分。</w:t>
      </w:r>
    </w:p>
    <w:p w14:paraId="025C34D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2.如果中标人无正当理由未在规定期间内签订合同，将没收其投标保证金，并承担相关法律责任。</w:t>
      </w:r>
    </w:p>
    <w:p w14:paraId="12F92E94">
      <w:pPr>
        <w:shd w:val="clear"/>
        <w:spacing w:after="0" w:line="360" w:lineRule="auto"/>
        <w:ind w:right="-2" w:firstLine="482" w:firstLineChars="200"/>
        <w:rPr>
          <w:rFonts w:hint="eastAsia" w:ascii="宋体" w:hAnsi="宋体"/>
          <w:b/>
          <w:color w:val="auto"/>
          <w:sz w:val="24"/>
          <w:highlight w:val="none"/>
        </w:rPr>
      </w:pPr>
      <w:r>
        <w:rPr>
          <w:rFonts w:hint="eastAsia" w:ascii="宋体" w:hAnsi="宋体"/>
          <w:b/>
          <w:color w:val="auto"/>
          <w:sz w:val="24"/>
          <w:highlight w:val="none"/>
        </w:rPr>
        <w:t>(四)履约保证金</w:t>
      </w:r>
    </w:p>
    <w:p w14:paraId="7DBC99A2">
      <w:pPr>
        <w:shd w:val="clear"/>
        <w:spacing w:after="0" w:line="360" w:lineRule="auto"/>
        <w:ind w:right="-2" w:firstLine="480" w:firstLineChars="200"/>
        <w:rPr>
          <w:rFonts w:hint="eastAsia" w:ascii="宋体" w:hAnsi="宋体"/>
          <w:b/>
          <w:color w:val="auto"/>
          <w:sz w:val="24"/>
          <w:highlight w:val="none"/>
        </w:rPr>
      </w:pPr>
      <w:r>
        <w:rPr>
          <w:rFonts w:hint="eastAsia" w:ascii="宋体" w:hAnsi="宋体"/>
          <w:color w:val="auto"/>
          <w:sz w:val="24"/>
          <w:highlight w:val="none"/>
        </w:rPr>
        <w:t>1.是否收取履约保证金及金额详见投标人须知前附表。中标人在领取中标通知书后与招标人签订合同，如收取履约保证金须在合同签订之前或同时向招标人提供履约保证金。</w:t>
      </w:r>
    </w:p>
    <w:p w14:paraId="205A784C">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2.履约保证金可以是支票、汇票、本票或者金融机构、担保机构出具的保函，鼓励采用保函的方式递交履约保证金。</w:t>
      </w:r>
    </w:p>
    <w:p w14:paraId="4383444D">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3.如果中标人未能履行合同并给招标人造成损失，履约保证金将作为对这一损失的补偿而付给招标人。</w:t>
      </w:r>
    </w:p>
    <w:p w14:paraId="376EEDD1">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4.履约保证金将在验收合格之日起十个工作日内予以退还</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如有）</w:t>
      </w:r>
      <w:r>
        <w:rPr>
          <w:rFonts w:hint="eastAsia" w:ascii="宋体" w:hAnsi="宋体"/>
          <w:color w:val="auto"/>
          <w:sz w:val="24"/>
          <w:highlight w:val="none"/>
        </w:rPr>
        <w:t>，不计利息。</w:t>
      </w:r>
    </w:p>
    <w:p w14:paraId="34A83334">
      <w:pPr>
        <w:shd w:val="clear"/>
        <w:spacing w:after="0" w:line="360" w:lineRule="auto"/>
        <w:ind w:right="-2" w:firstLine="480" w:firstLineChars="200"/>
        <w:rPr>
          <w:rFonts w:hint="eastAsia" w:ascii="宋体" w:hAnsi="宋体"/>
          <w:b/>
          <w:color w:val="auto"/>
          <w:sz w:val="24"/>
          <w:highlight w:val="none"/>
        </w:rPr>
      </w:pPr>
      <w:r>
        <w:rPr>
          <w:rFonts w:hint="eastAsia" w:ascii="宋体" w:hAnsi="宋体"/>
          <w:color w:val="auto"/>
          <w:sz w:val="24"/>
          <w:highlight w:val="none"/>
        </w:rPr>
        <w:t>如果</w:t>
      </w:r>
      <w:r>
        <w:rPr>
          <w:rFonts w:hint="eastAsia" w:ascii="宋体" w:hAnsi="宋体"/>
          <w:color w:val="auto"/>
          <w:sz w:val="24"/>
          <w:highlight w:val="none"/>
          <w:lang w:eastAsia="zh-CN"/>
        </w:rPr>
        <w:t>中标人</w:t>
      </w:r>
      <w:r>
        <w:rPr>
          <w:rFonts w:hint="eastAsia" w:ascii="宋体" w:hAnsi="宋体"/>
          <w:color w:val="auto"/>
          <w:sz w:val="24"/>
          <w:highlight w:val="none"/>
        </w:rPr>
        <w:t>未能履行合同并给</w:t>
      </w:r>
      <w:r>
        <w:rPr>
          <w:rFonts w:hint="eastAsia" w:ascii="宋体" w:hAnsi="宋体"/>
          <w:color w:val="auto"/>
          <w:sz w:val="24"/>
          <w:highlight w:val="none"/>
          <w:lang w:eastAsia="zh-CN"/>
        </w:rPr>
        <w:t>招标人</w:t>
      </w:r>
      <w:r>
        <w:rPr>
          <w:rFonts w:hint="eastAsia" w:ascii="宋体" w:hAnsi="宋体"/>
          <w:color w:val="auto"/>
          <w:sz w:val="24"/>
          <w:highlight w:val="none"/>
        </w:rPr>
        <w:t>造成损失，</w:t>
      </w:r>
      <w:r>
        <w:rPr>
          <w:rFonts w:hint="eastAsia" w:ascii="宋体" w:hAnsi="宋体"/>
          <w:color w:val="auto"/>
          <w:sz w:val="24"/>
          <w:highlight w:val="none"/>
          <w:lang w:eastAsia="zh-CN"/>
        </w:rPr>
        <w:t>招标人</w:t>
      </w:r>
      <w:r>
        <w:rPr>
          <w:rFonts w:hint="eastAsia" w:ascii="宋体" w:hAnsi="宋体"/>
          <w:color w:val="auto"/>
          <w:sz w:val="24"/>
          <w:highlight w:val="none"/>
        </w:rPr>
        <w:t>有权扣除</w:t>
      </w:r>
      <w:r>
        <w:rPr>
          <w:rFonts w:hint="eastAsia" w:ascii="宋体" w:hAnsi="宋体"/>
          <w:color w:val="auto"/>
          <w:sz w:val="24"/>
          <w:highlight w:val="none"/>
          <w:lang w:eastAsia="zh-CN"/>
        </w:rPr>
        <w:t>中标人</w:t>
      </w:r>
      <w:r>
        <w:rPr>
          <w:rFonts w:hint="eastAsia" w:ascii="宋体" w:hAnsi="宋体"/>
          <w:color w:val="auto"/>
          <w:sz w:val="24"/>
          <w:highlight w:val="none"/>
        </w:rPr>
        <w:t>的履约保证金，如不足以弥补</w:t>
      </w:r>
      <w:r>
        <w:rPr>
          <w:rFonts w:hint="eastAsia" w:ascii="宋体" w:hAnsi="宋体"/>
          <w:color w:val="auto"/>
          <w:sz w:val="24"/>
          <w:highlight w:val="none"/>
          <w:lang w:eastAsia="zh-CN"/>
        </w:rPr>
        <w:t>招标人</w:t>
      </w:r>
      <w:r>
        <w:rPr>
          <w:rFonts w:hint="eastAsia" w:ascii="宋体" w:hAnsi="宋体"/>
          <w:color w:val="auto"/>
          <w:sz w:val="24"/>
          <w:highlight w:val="none"/>
        </w:rPr>
        <w:t>的损失，</w:t>
      </w:r>
      <w:r>
        <w:rPr>
          <w:rFonts w:hint="eastAsia" w:ascii="宋体" w:hAnsi="宋体"/>
          <w:color w:val="auto"/>
          <w:sz w:val="24"/>
          <w:highlight w:val="none"/>
          <w:lang w:eastAsia="zh-CN"/>
        </w:rPr>
        <w:t>招标人</w:t>
      </w:r>
      <w:r>
        <w:rPr>
          <w:rFonts w:hint="eastAsia" w:ascii="宋体" w:hAnsi="宋体"/>
          <w:color w:val="auto"/>
          <w:sz w:val="24"/>
          <w:highlight w:val="none"/>
        </w:rPr>
        <w:t>有权继续追偿。如因</w:t>
      </w:r>
      <w:r>
        <w:rPr>
          <w:rFonts w:hint="eastAsia" w:ascii="宋体" w:hAnsi="宋体"/>
          <w:color w:val="auto"/>
          <w:sz w:val="24"/>
          <w:highlight w:val="none"/>
          <w:lang w:eastAsia="zh-CN"/>
        </w:rPr>
        <w:t>中标人</w:t>
      </w:r>
      <w:r>
        <w:rPr>
          <w:rFonts w:hint="eastAsia" w:ascii="宋体" w:hAnsi="宋体"/>
          <w:color w:val="auto"/>
          <w:sz w:val="24"/>
          <w:highlight w:val="none"/>
        </w:rPr>
        <w:t>原因导致本合同解除的（包括但不限于</w:t>
      </w:r>
      <w:r>
        <w:rPr>
          <w:rFonts w:hint="eastAsia" w:ascii="宋体" w:hAnsi="宋体"/>
          <w:color w:val="auto"/>
          <w:sz w:val="24"/>
          <w:highlight w:val="none"/>
          <w:lang w:eastAsia="zh-CN"/>
        </w:rPr>
        <w:t>招标人</w:t>
      </w:r>
      <w:r>
        <w:rPr>
          <w:rFonts w:hint="eastAsia" w:ascii="宋体" w:hAnsi="宋体"/>
          <w:color w:val="auto"/>
          <w:sz w:val="24"/>
          <w:highlight w:val="none"/>
        </w:rPr>
        <w:t>因</w:t>
      </w:r>
      <w:r>
        <w:rPr>
          <w:rFonts w:hint="eastAsia" w:ascii="宋体" w:hAnsi="宋体"/>
          <w:color w:val="auto"/>
          <w:sz w:val="24"/>
          <w:highlight w:val="none"/>
          <w:lang w:eastAsia="zh-CN"/>
        </w:rPr>
        <w:t>中标人</w:t>
      </w:r>
      <w:r>
        <w:rPr>
          <w:rFonts w:hint="eastAsia" w:ascii="宋体" w:hAnsi="宋体"/>
          <w:color w:val="auto"/>
          <w:sz w:val="24"/>
          <w:highlight w:val="none"/>
        </w:rPr>
        <w:t>违约等</w:t>
      </w:r>
      <w:r>
        <w:rPr>
          <w:rFonts w:hint="eastAsia" w:ascii="宋体" w:hAnsi="宋体"/>
          <w:color w:val="auto"/>
          <w:sz w:val="24"/>
          <w:highlight w:val="none"/>
          <w:lang w:eastAsia="zh-CN"/>
        </w:rPr>
        <w:t>中标人</w:t>
      </w:r>
      <w:r>
        <w:rPr>
          <w:rFonts w:hint="eastAsia" w:ascii="宋体" w:hAnsi="宋体"/>
          <w:color w:val="auto"/>
          <w:sz w:val="24"/>
          <w:highlight w:val="none"/>
        </w:rPr>
        <w:t>原因解除合同或</w:t>
      </w:r>
      <w:r>
        <w:rPr>
          <w:rFonts w:hint="eastAsia" w:ascii="宋体" w:hAnsi="宋体"/>
          <w:color w:val="auto"/>
          <w:sz w:val="24"/>
          <w:highlight w:val="none"/>
          <w:lang w:eastAsia="zh-CN"/>
        </w:rPr>
        <w:t>中标人</w:t>
      </w:r>
      <w:r>
        <w:rPr>
          <w:rFonts w:hint="eastAsia" w:ascii="宋体" w:hAnsi="宋体"/>
          <w:color w:val="auto"/>
          <w:sz w:val="24"/>
          <w:highlight w:val="none"/>
        </w:rPr>
        <w:t>擅自解除合同等），</w:t>
      </w:r>
      <w:r>
        <w:rPr>
          <w:rFonts w:hint="eastAsia" w:ascii="宋体" w:hAnsi="宋体"/>
          <w:color w:val="auto"/>
          <w:sz w:val="24"/>
          <w:highlight w:val="none"/>
          <w:lang w:eastAsia="zh-CN"/>
        </w:rPr>
        <w:t>招标人</w:t>
      </w:r>
      <w:r>
        <w:rPr>
          <w:rFonts w:hint="eastAsia" w:ascii="宋体" w:hAnsi="宋体"/>
          <w:color w:val="auto"/>
          <w:sz w:val="24"/>
          <w:highlight w:val="none"/>
        </w:rPr>
        <w:t>有权扣除全部履约保证金，不再退还给</w:t>
      </w:r>
      <w:r>
        <w:rPr>
          <w:rFonts w:hint="eastAsia" w:ascii="宋体" w:hAnsi="宋体"/>
          <w:color w:val="auto"/>
          <w:sz w:val="24"/>
          <w:highlight w:val="none"/>
          <w:lang w:eastAsia="zh-CN"/>
        </w:rPr>
        <w:t>中标人</w:t>
      </w:r>
      <w:r>
        <w:rPr>
          <w:rFonts w:hint="eastAsia" w:ascii="宋体" w:hAnsi="宋体"/>
          <w:color w:val="auto"/>
          <w:sz w:val="24"/>
          <w:highlight w:val="none"/>
        </w:rPr>
        <w:t>。</w:t>
      </w:r>
    </w:p>
    <w:p w14:paraId="39273B47">
      <w:pPr>
        <w:shd w:val="clear"/>
        <w:spacing w:after="0" w:line="360" w:lineRule="auto"/>
        <w:ind w:right="-2" w:firstLine="361" w:firstLineChars="100"/>
        <w:jc w:val="center"/>
        <w:rPr>
          <w:rFonts w:hint="eastAsia" w:ascii="宋体" w:hAnsi="宋体"/>
          <w:b/>
          <w:bCs/>
          <w:color w:val="auto"/>
          <w:sz w:val="36"/>
          <w:szCs w:val="36"/>
          <w:highlight w:val="none"/>
        </w:rPr>
      </w:pPr>
      <w:r>
        <w:rPr>
          <w:rFonts w:hint="eastAsia" w:ascii="宋体" w:hAnsi="宋体"/>
          <w:b/>
          <w:bCs/>
          <w:color w:val="auto"/>
          <w:sz w:val="36"/>
          <w:szCs w:val="36"/>
          <w:highlight w:val="none"/>
        </w:rPr>
        <w:t>七、其他</w:t>
      </w:r>
    </w:p>
    <w:p w14:paraId="27E5582A">
      <w:pPr>
        <w:shd w:val="clear"/>
        <w:spacing w:after="0" w:line="360" w:lineRule="auto"/>
        <w:ind w:right="-2" w:firstLine="241" w:firstLineChars="100"/>
        <w:rPr>
          <w:rFonts w:hint="eastAsia" w:ascii="宋体" w:hAnsi="宋体"/>
          <w:b/>
          <w:bCs/>
          <w:color w:val="auto"/>
          <w:sz w:val="24"/>
          <w:highlight w:val="none"/>
        </w:rPr>
      </w:pPr>
      <w:r>
        <w:rPr>
          <w:rFonts w:hint="eastAsia" w:ascii="宋体" w:hAnsi="宋体"/>
          <w:b/>
          <w:bCs/>
          <w:color w:val="auto"/>
          <w:sz w:val="24"/>
          <w:highlight w:val="none"/>
        </w:rPr>
        <w:t>（一）招标代理人服务费</w:t>
      </w:r>
    </w:p>
    <w:p w14:paraId="2EC2548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1.中标人在中标公示发出之日起5日内，须向辽宁和泰项目管理有限公司缴纳代理服务费。</w:t>
      </w:r>
    </w:p>
    <w:p w14:paraId="3A95F4D6">
      <w:pPr>
        <w:shd w:val="clear"/>
        <w:spacing w:after="0" w:line="360" w:lineRule="auto"/>
        <w:ind w:right="-2" w:firstLine="480" w:firstLineChars="200"/>
        <w:outlineLvl w:val="0"/>
        <w:rPr>
          <w:rFonts w:hint="eastAsia" w:ascii="宋体" w:hAnsi="宋体"/>
          <w:bCs/>
          <w:color w:val="auto"/>
          <w:sz w:val="18"/>
          <w:szCs w:val="18"/>
          <w:highlight w:val="none"/>
        </w:rPr>
      </w:pPr>
      <w:r>
        <w:rPr>
          <w:rFonts w:hint="eastAsia" w:ascii="宋体" w:hAnsi="宋体"/>
          <w:bCs/>
          <w:color w:val="auto"/>
          <w:sz w:val="24"/>
          <w:highlight w:val="none"/>
        </w:rPr>
        <w:t>2.招标代理服务收费标准:</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4"/>
        <w:gridCol w:w="1850"/>
        <w:gridCol w:w="2084"/>
        <w:gridCol w:w="2084"/>
      </w:tblGrid>
      <w:tr w14:paraId="5B80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trPr>
        <w:tc>
          <w:tcPr>
            <w:tcW w:w="1620" w:type="pct"/>
            <w:tcBorders>
              <w:top w:val="single" w:color="auto" w:sz="4" w:space="0"/>
              <w:left w:val="single" w:color="auto" w:sz="4" w:space="0"/>
              <w:bottom w:val="single" w:color="auto" w:sz="4" w:space="0"/>
              <w:right w:val="single" w:color="auto" w:sz="4" w:space="0"/>
            </w:tcBorders>
            <w:vAlign w:val="center"/>
          </w:tcPr>
          <w:p w14:paraId="7DE69178">
            <w:pPr>
              <w:shd w:val="clear"/>
              <w:spacing w:after="0" w:line="360" w:lineRule="auto"/>
              <w:ind w:right="-2"/>
              <w:rPr>
                <w:rFonts w:hint="eastAsia" w:ascii="宋体" w:hAnsi="宋体"/>
                <w:color w:val="auto"/>
                <w:sz w:val="24"/>
                <w:highlight w:val="none"/>
              </w:rPr>
            </w:pPr>
            <w:r>
              <w:rPr>
                <w:rFonts w:hint="eastAsia"/>
                <w:color w:val="auto"/>
                <w:highlight w:val="none"/>
              </w:rPr>
              <mc:AlternateContent>
                <mc:Choice Requires="wpg">
                  <w:drawing>
                    <wp:anchor distT="0" distB="0" distL="114300" distR="114300" simplePos="0" relativeHeight="251660288" behindDoc="0" locked="0" layoutInCell="1" allowOverlap="1">
                      <wp:simplePos x="0" y="0"/>
                      <wp:positionH relativeFrom="column">
                        <wp:posOffset>-65405</wp:posOffset>
                      </wp:positionH>
                      <wp:positionV relativeFrom="paragraph">
                        <wp:posOffset>0</wp:posOffset>
                      </wp:positionV>
                      <wp:extent cx="1609090" cy="742315"/>
                      <wp:effectExtent l="10795" t="12065" r="8890" b="7620"/>
                      <wp:wrapNone/>
                      <wp:docPr id="720019986" name="__TH_G32五号150"/>
                      <wp:cNvGraphicFramePr/>
                      <a:graphic xmlns:a="http://schemas.openxmlformats.org/drawingml/2006/main">
                        <a:graphicData uri="http://schemas.microsoft.com/office/word/2010/wordprocessingGroup">
                          <wpg:wgp>
                            <wpg:cNvGrpSpPr/>
                            <wpg:grpSpPr>
                              <a:xfrm>
                                <a:off x="0" y="0"/>
                                <a:ext cx="1609090" cy="742315"/>
                                <a:chOff x="2762" y="2367"/>
                                <a:chExt cx="2534" cy="1169"/>
                              </a:xfrm>
                            </wpg:grpSpPr>
                            <wps:wsp>
                              <wps:cNvPr id="1899247289" name="__TH_L134"/>
                              <wps:cNvCnPr>
                                <a:cxnSpLocks noChangeShapeType="1"/>
                              </wps:cNvCnPr>
                              <wps:spPr bwMode="auto">
                                <a:xfrm>
                                  <a:off x="2762" y="2367"/>
                                  <a:ext cx="2534" cy="585"/>
                                </a:xfrm>
                                <a:prstGeom prst="line">
                                  <a:avLst/>
                                </a:prstGeom>
                                <a:noFill/>
                                <a:ln w="6350">
                                  <a:solidFill>
                                    <a:srgbClr val="000000"/>
                                  </a:solidFill>
                                  <a:round/>
                                </a:ln>
                              </wps:spPr>
                              <wps:bodyPr/>
                            </wps:wsp>
                            <wps:wsp>
                              <wps:cNvPr id="2142952320" name="__TH_L135"/>
                              <wps:cNvCnPr>
                                <a:cxnSpLocks noChangeShapeType="1"/>
                              </wps:cNvCnPr>
                              <wps:spPr bwMode="auto">
                                <a:xfrm>
                                  <a:off x="2762" y="2367"/>
                                  <a:ext cx="2534" cy="1169"/>
                                </a:xfrm>
                                <a:prstGeom prst="line">
                                  <a:avLst/>
                                </a:prstGeom>
                                <a:noFill/>
                                <a:ln w="6350">
                                  <a:solidFill>
                                    <a:srgbClr val="000000"/>
                                  </a:solidFill>
                                  <a:round/>
                                </a:ln>
                              </wps:spPr>
                              <wps:bodyPr/>
                            </wps:wsp>
                            <wps:wsp>
                              <wps:cNvPr id="1833388605" name="__TH_B11136"/>
                              <wps:cNvSpPr txBox="1">
                                <a:spLocks noChangeArrowheads="1"/>
                              </wps:cNvSpPr>
                              <wps:spPr bwMode="auto">
                                <a:xfrm>
                                  <a:off x="3843" y="2367"/>
                                  <a:ext cx="253" cy="263"/>
                                </a:xfrm>
                                <a:prstGeom prst="rect">
                                  <a:avLst/>
                                </a:prstGeom>
                                <a:noFill/>
                                <a:ln>
                                  <a:noFill/>
                                </a:ln>
                              </wps:spPr>
                              <wps:txbx>
                                <w:txbxContent>
                                  <w:p w14:paraId="7D1D8975">
                                    <w:r>
                                      <w:rPr>
                                        <w:rFonts w:hint="eastAsia"/>
                                      </w:rPr>
                                      <w:t>招</w:t>
                                    </w:r>
                                  </w:p>
                                </w:txbxContent>
                              </wps:txbx>
                              <wps:bodyPr rot="0" vert="horz" wrap="square" lIns="0" tIns="0" rIns="0" bIns="0" anchor="t" anchorCtr="0" upright="1">
                                <a:noAutofit/>
                              </wps:bodyPr>
                            </wps:wsp>
                            <wps:wsp>
                              <wps:cNvPr id="1155082416" name="__TH_B12137"/>
                              <wps:cNvSpPr txBox="1">
                                <a:spLocks noChangeArrowheads="1"/>
                              </wps:cNvSpPr>
                              <wps:spPr bwMode="auto">
                                <a:xfrm>
                                  <a:off x="4186" y="2400"/>
                                  <a:ext cx="253" cy="263"/>
                                </a:xfrm>
                                <a:prstGeom prst="rect">
                                  <a:avLst/>
                                </a:prstGeom>
                                <a:noFill/>
                                <a:ln>
                                  <a:noFill/>
                                </a:ln>
                              </wps:spPr>
                              <wps:txbx>
                                <w:txbxContent>
                                  <w:p w14:paraId="7BA949D6">
                                    <w:r>
                                      <w:rPr>
                                        <w:rFonts w:hint="eastAsia"/>
                                      </w:rPr>
                                      <w:t>标</w:t>
                                    </w:r>
                                  </w:p>
                                </w:txbxContent>
                              </wps:txbx>
                              <wps:bodyPr rot="0" vert="horz" wrap="square" lIns="0" tIns="0" rIns="0" bIns="0" anchor="t" anchorCtr="0" upright="1">
                                <a:noAutofit/>
                              </wps:bodyPr>
                            </wps:wsp>
                            <wps:wsp>
                              <wps:cNvPr id="182359796" name="__TH_B13138"/>
                              <wps:cNvSpPr txBox="1">
                                <a:spLocks noChangeArrowheads="1"/>
                              </wps:cNvSpPr>
                              <wps:spPr bwMode="auto">
                                <a:xfrm>
                                  <a:off x="4529" y="2440"/>
                                  <a:ext cx="253" cy="262"/>
                                </a:xfrm>
                                <a:prstGeom prst="rect">
                                  <a:avLst/>
                                </a:prstGeom>
                                <a:noFill/>
                                <a:ln>
                                  <a:noFill/>
                                </a:ln>
                              </wps:spPr>
                              <wps:txbx>
                                <w:txbxContent>
                                  <w:p w14:paraId="50A07E36">
                                    <w:r>
                                      <w:rPr>
                                        <w:rFonts w:hint="eastAsia"/>
                                      </w:rPr>
                                      <w:t>类</w:t>
                                    </w:r>
                                  </w:p>
                                </w:txbxContent>
                              </wps:txbx>
                              <wps:bodyPr rot="0" vert="horz" wrap="square" lIns="0" tIns="0" rIns="0" bIns="0" anchor="t" anchorCtr="0" upright="1">
                                <a:noAutofit/>
                              </wps:bodyPr>
                            </wps:wsp>
                            <wps:wsp>
                              <wps:cNvPr id="1934656129" name="__TH_B14139"/>
                              <wps:cNvSpPr txBox="1">
                                <a:spLocks noChangeArrowheads="1"/>
                              </wps:cNvSpPr>
                              <wps:spPr bwMode="auto">
                                <a:xfrm>
                                  <a:off x="4872" y="2479"/>
                                  <a:ext cx="253" cy="263"/>
                                </a:xfrm>
                                <a:prstGeom prst="rect">
                                  <a:avLst/>
                                </a:prstGeom>
                                <a:noFill/>
                                <a:ln>
                                  <a:noFill/>
                                </a:ln>
                              </wps:spPr>
                              <wps:txbx>
                                <w:txbxContent>
                                  <w:p w14:paraId="0C48A834">
                                    <w:r>
                                      <w:rPr>
                                        <w:rFonts w:hint="eastAsia"/>
                                      </w:rPr>
                                      <w:t>别</w:t>
                                    </w:r>
                                  </w:p>
                                </w:txbxContent>
                              </wps:txbx>
                              <wps:bodyPr rot="0" vert="horz" wrap="square" lIns="0" tIns="0" rIns="0" bIns="0" anchor="t" anchorCtr="0" upright="1">
                                <a:noAutofit/>
                              </wps:bodyPr>
                            </wps:wsp>
                            <wps:wsp>
                              <wps:cNvPr id="1853170607" name="__TH_B21140"/>
                              <wps:cNvSpPr txBox="1">
                                <a:spLocks noChangeArrowheads="1"/>
                              </wps:cNvSpPr>
                              <wps:spPr bwMode="auto">
                                <a:xfrm>
                                  <a:off x="4085" y="2722"/>
                                  <a:ext cx="214" cy="262"/>
                                </a:xfrm>
                                <a:prstGeom prst="rect">
                                  <a:avLst/>
                                </a:prstGeom>
                                <a:noFill/>
                                <a:ln>
                                  <a:noFill/>
                                </a:ln>
                              </wps:spPr>
                              <wps:txbx>
                                <w:txbxContent>
                                  <w:p w14:paraId="7626652E">
                                    <w:r>
                                      <w:rPr>
                                        <w:rFonts w:hint="eastAsia"/>
                                      </w:rPr>
                                      <w:t>费</w:t>
                                    </w:r>
                                  </w:p>
                                </w:txbxContent>
                              </wps:txbx>
                              <wps:bodyPr rot="0" vert="horz" wrap="square" lIns="0" tIns="0" rIns="0" bIns="0" anchor="t" anchorCtr="0" upright="1">
                                <a:noAutofit/>
                              </wps:bodyPr>
                            </wps:wsp>
                            <wps:wsp>
                              <wps:cNvPr id="1065247200" name="__TH_B22141"/>
                              <wps:cNvSpPr txBox="1">
                                <a:spLocks noChangeArrowheads="1"/>
                              </wps:cNvSpPr>
                              <wps:spPr bwMode="auto">
                                <a:xfrm>
                                  <a:off x="4749" y="2958"/>
                                  <a:ext cx="253" cy="263"/>
                                </a:xfrm>
                                <a:prstGeom prst="rect">
                                  <a:avLst/>
                                </a:prstGeom>
                                <a:noFill/>
                                <a:ln>
                                  <a:noFill/>
                                </a:ln>
                              </wps:spPr>
                              <wps:txbx>
                                <w:txbxContent>
                                  <w:p w14:paraId="15BC0404">
                                    <w:r>
                                      <w:rPr>
                                        <w:rFonts w:hint="eastAsia"/>
                                      </w:rPr>
                                      <w:t>率</w:t>
                                    </w:r>
                                  </w:p>
                                </w:txbxContent>
                              </wps:txbx>
                              <wps:bodyPr rot="0" vert="horz" wrap="square" lIns="0" tIns="0" rIns="0" bIns="0" anchor="t" anchorCtr="0" upright="1">
                                <a:noAutofit/>
                              </wps:bodyPr>
                            </wps:wsp>
                            <wps:wsp>
                              <wps:cNvPr id="402280228" name="__TH_B31142"/>
                              <wps:cNvSpPr txBox="1">
                                <a:spLocks noChangeArrowheads="1"/>
                              </wps:cNvSpPr>
                              <wps:spPr bwMode="auto">
                                <a:xfrm>
                                  <a:off x="2890" y="2873"/>
                                  <a:ext cx="253" cy="263"/>
                                </a:xfrm>
                                <a:prstGeom prst="rect">
                                  <a:avLst/>
                                </a:prstGeom>
                                <a:noFill/>
                                <a:ln>
                                  <a:noFill/>
                                </a:ln>
                              </wps:spPr>
                              <wps:txbx>
                                <w:txbxContent>
                                  <w:p w14:paraId="03D3D8E2">
                                    <w:r>
                                      <w:rPr>
                                        <w:rFonts w:hint="eastAsia"/>
                                      </w:rPr>
                                      <w:t>中</w:t>
                                    </w:r>
                                  </w:p>
                                </w:txbxContent>
                              </wps:txbx>
                              <wps:bodyPr rot="0" vert="horz" wrap="square" lIns="0" tIns="0" rIns="0" bIns="0" anchor="t" anchorCtr="0" upright="1">
                                <a:noAutofit/>
                              </wps:bodyPr>
                            </wps:wsp>
                            <wps:wsp>
                              <wps:cNvPr id="1201381128" name="__TH_B32143"/>
                              <wps:cNvSpPr txBox="1">
                                <a:spLocks noChangeArrowheads="1"/>
                              </wps:cNvSpPr>
                              <wps:spPr bwMode="auto">
                                <a:xfrm>
                                  <a:off x="3137" y="2930"/>
                                  <a:ext cx="253" cy="263"/>
                                </a:xfrm>
                                <a:prstGeom prst="rect">
                                  <a:avLst/>
                                </a:prstGeom>
                                <a:noFill/>
                                <a:ln>
                                  <a:noFill/>
                                </a:ln>
                              </wps:spPr>
                              <wps:txbx>
                                <w:txbxContent>
                                  <w:p w14:paraId="023DB22F">
                                    <w:r>
                                      <w:rPr>
                                        <w:rFonts w:hint="eastAsia"/>
                                      </w:rPr>
                                      <w:t>标</w:t>
                                    </w:r>
                                  </w:p>
                                </w:txbxContent>
                              </wps:txbx>
                              <wps:bodyPr rot="0" vert="horz" wrap="square" lIns="0" tIns="0" rIns="0" bIns="0" anchor="t" anchorCtr="0" upright="1">
                                <a:noAutofit/>
                              </wps:bodyPr>
                            </wps:wsp>
                            <wps:wsp>
                              <wps:cNvPr id="795418641" name="__TH_B33144"/>
                              <wps:cNvSpPr txBox="1">
                                <a:spLocks noChangeArrowheads="1"/>
                              </wps:cNvSpPr>
                              <wps:spPr bwMode="auto">
                                <a:xfrm>
                                  <a:off x="3384" y="2987"/>
                                  <a:ext cx="252" cy="263"/>
                                </a:xfrm>
                                <a:prstGeom prst="rect">
                                  <a:avLst/>
                                </a:prstGeom>
                                <a:noFill/>
                                <a:ln>
                                  <a:noFill/>
                                </a:ln>
                              </wps:spPr>
                              <wps:txbx>
                                <w:txbxContent>
                                  <w:p w14:paraId="4CF2DD4E">
                                    <w:r>
                                      <w:rPr>
                                        <w:rFonts w:hint="eastAsia"/>
                                      </w:rPr>
                                      <w:t>金</w:t>
                                    </w:r>
                                  </w:p>
                                </w:txbxContent>
                              </wps:txbx>
                              <wps:bodyPr rot="0" vert="horz" wrap="square" lIns="0" tIns="0" rIns="0" bIns="0" anchor="t" anchorCtr="0" upright="1">
                                <a:noAutofit/>
                              </wps:bodyPr>
                            </wps:wsp>
                            <wps:wsp>
                              <wps:cNvPr id="1379998364" name="__TH_B34145"/>
                              <wps:cNvSpPr txBox="1">
                                <a:spLocks noChangeArrowheads="1"/>
                              </wps:cNvSpPr>
                              <wps:spPr bwMode="auto">
                                <a:xfrm>
                                  <a:off x="3631" y="3044"/>
                                  <a:ext cx="252" cy="263"/>
                                </a:xfrm>
                                <a:prstGeom prst="rect">
                                  <a:avLst/>
                                </a:prstGeom>
                                <a:noFill/>
                                <a:ln>
                                  <a:noFill/>
                                </a:ln>
                              </wps:spPr>
                              <wps:txbx>
                                <w:txbxContent>
                                  <w:p w14:paraId="148B77CD">
                                    <w:r>
                                      <w:rPr>
                                        <w:rFonts w:hint="eastAsia"/>
                                      </w:rPr>
                                      <w:t>额</w:t>
                                    </w:r>
                                  </w:p>
                                </w:txbxContent>
                              </wps:txbx>
                              <wps:bodyPr rot="0" vert="horz" wrap="square" lIns="0" tIns="0" rIns="0" bIns="0" anchor="t" anchorCtr="0" upright="1">
                                <a:noAutofit/>
                              </wps:bodyPr>
                            </wps:wsp>
                            <wps:wsp>
                              <wps:cNvPr id="1815167260" name="__TH_B35146"/>
                              <wps:cNvSpPr txBox="1">
                                <a:spLocks noChangeArrowheads="1"/>
                              </wps:cNvSpPr>
                              <wps:spPr bwMode="auto">
                                <a:xfrm>
                                  <a:off x="3877" y="3101"/>
                                  <a:ext cx="253" cy="262"/>
                                </a:xfrm>
                                <a:prstGeom prst="rect">
                                  <a:avLst/>
                                </a:prstGeom>
                                <a:noFill/>
                                <a:ln>
                                  <a:noFill/>
                                </a:ln>
                              </wps:spPr>
                              <wps:txbx>
                                <w:txbxContent>
                                  <w:p w14:paraId="2C379F41">
                                    <w:r>
                                      <w:rPr>
                                        <w:rFonts w:hint="eastAsia"/>
                                      </w:rPr>
                                      <w:t>（</w:t>
                                    </w:r>
                                  </w:p>
                                </w:txbxContent>
                              </wps:txbx>
                              <wps:bodyPr rot="0" vert="horz" wrap="square" lIns="0" tIns="0" rIns="0" bIns="0" anchor="t" anchorCtr="0" upright="1">
                                <a:noAutofit/>
                              </wps:bodyPr>
                            </wps:wsp>
                            <wps:wsp>
                              <wps:cNvPr id="902126902" name="__TH_B36147"/>
                              <wps:cNvSpPr txBox="1">
                                <a:spLocks noChangeArrowheads="1"/>
                              </wps:cNvSpPr>
                              <wps:spPr bwMode="auto">
                                <a:xfrm>
                                  <a:off x="4124" y="3158"/>
                                  <a:ext cx="253" cy="262"/>
                                </a:xfrm>
                                <a:prstGeom prst="rect">
                                  <a:avLst/>
                                </a:prstGeom>
                                <a:noFill/>
                                <a:ln>
                                  <a:noFill/>
                                </a:ln>
                              </wps:spPr>
                              <wps:txbx>
                                <w:txbxContent>
                                  <w:p w14:paraId="2DCD3D2F">
                                    <w:r>
                                      <w:rPr>
                                        <w:rFonts w:hint="eastAsia"/>
                                      </w:rPr>
                                      <w:t>万</w:t>
                                    </w:r>
                                  </w:p>
                                </w:txbxContent>
                              </wps:txbx>
                              <wps:bodyPr rot="0" vert="horz" wrap="square" lIns="0" tIns="0" rIns="0" bIns="0" anchor="t" anchorCtr="0" upright="1">
                                <a:noAutofit/>
                              </wps:bodyPr>
                            </wps:wsp>
                            <wps:wsp>
                              <wps:cNvPr id="1584537195" name="__TH_B37148"/>
                              <wps:cNvSpPr txBox="1">
                                <a:spLocks noChangeArrowheads="1"/>
                              </wps:cNvSpPr>
                              <wps:spPr bwMode="auto">
                                <a:xfrm>
                                  <a:off x="4395" y="3215"/>
                                  <a:ext cx="204" cy="262"/>
                                </a:xfrm>
                                <a:prstGeom prst="rect">
                                  <a:avLst/>
                                </a:prstGeom>
                                <a:noFill/>
                                <a:ln>
                                  <a:noFill/>
                                </a:ln>
                              </wps:spPr>
                              <wps:txbx>
                                <w:txbxContent>
                                  <w:p w14:paraId="08A5ED46">
                                    <w:r>
                                      <w:rPr>
                                        <w:rFonts w:hint="eastAsia"/>
                                      </w:rPr>
                                      <w:t>元</w:t>
                                    </w:r>
                                  </w:p>
                                </w:txbxContent>
                              </wps:txbx>
                              <wps:bodyPr rot="0" vert="horz" wrap="square" lIns="0" tIns="0" rIns="0" bIns="0" anchor="t" anchorCtr="0" upright="1">
                                <a:noAutofit/>
                              </wps:bodyPr>
                            </wps:wsp>
                            <wps:wsp>
                              <wps:cNvPr id="1216605807" name="__TH_B38149"/>
                              <wps:cNvSpPr txBox="1">
                                <a:spLocks noChangeArrowheads="1"/>
                              </wps:cNvSpPr>
                              <wps:spPr bwMode="auto">
                                <a:xfrm>
                                  <a:off x="4713" y="3272"/>
                                  <a:ext cx="62" cy="262"/>
                                </a:xfrm>
                                <a:prstGeom prst="rect">
                                  <a:avLst/>
                                </a:prstGeom>
                                <a:noFill/>
                                <a:ln>
                                  <a:noFill/>
                                </a:ln>
                              </wps:spPr>
                              <wps:txbx>
                                <w:txbxContent>
                                  <w:p w14:paraId="236DA600">
                                    <w:r>
                                      <w:rPr>
                                        <w:rFonts w:hint="eastAsia"/>
                                      </w:rPr>
                                      <w:t>）</w:t>
                                    </w:r>
                                  </w:p>
                                </w:txbxContent>
                              </wps:txbx>
                              <wps:bodyPr rot="0" vert="horz" wrap="square" lIns="0" tIns="0" rIns="0" bIns="0" anchor="t" anchorCtr="0" upright="1">
                                <a:noAutofit/>
                              </wps:bodyPr>
                            </wps:wsp>
                          </wpg:wgp>
                        </a:graphicData>
                      </a:graphic>
                    </wp:anchor>
                  </w:drawing>
                </mc:Choice>
                <mc:Fallback>
                  <w:pict>
                    <v:group id="__TH_G32五号150" o:spid="_x0000_s1026" o:spt="203" style="position:absolute;left:0pt;margin-left:-5.15pt;margin-top:0pt;height:58.45pt;width:126.7pt;z-index:251660288;mso-width-relative:page;mso-height-relative:page;" coordorigin="2762,2367" coordsize="2534,1169" o:gfxdata="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">
                      <o:lock v:ext="edit" aspectratio="f"/>
                      <v:line id="__TH_L134" o:spid="_x0000_s1026" o:spt="20" style="position:absolute;left:2762;top:2367;height:585;width:2534;" filled="f" stroked="t" coordsize="21600,21600" o:gfxdata="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fVRW/&#10;AAAA4w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__TH_L135" o:spid="_x0000_s1026" o:spt="20" style="position:absolute;left:2762;top:2367;height:1169;width:2534;" filled="f" stroked="t" coordsize="21600,21600" o:gfxdata="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lZdO&#10;wAAAAOM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shape id="__TH_B11136" o:spid="_x0000_s1026" o:spt="202" type="#_x0000_t202" style="position:absolute;left:3843;top:2367;height:263;width:253;" filled="f" stroked="f" coordsize="21600,21600" o:gfxdata="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5Tqk&#10;us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D1D8975">
                              <w:r>
                                <w:rPr>
                                  <w:rFonts w:hint="eastAsia"/>
                                </w:rPr>
                                <w:t>招</w:t>
                              </w:r>
                            </w:p>
                          </w:txbxContent>
                        </v:textbox>
                      </v:shape>
                      <v:shape id="__TH_B12137" o:spid="_x0000_s1026" o:spt="202" type="#_x0000_t202" style="position:absolute;left:4186;top:2400;height:263;width:253;" filled="f" stroked="f" coordsize="21600,21600" o:gfxdata="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YlL&#10;rs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BA949D6">
                              <w:r>
                                <w:rPr>
                                  <w:rFonts w:hint="eastAsia"/>
                                </w:rPr>
                                <w:t>标</w:t>
                              </w:r>
                            </w:p>
                          </w:txbxContent>
                        </v:textbox>
                      </v:shape>
                      <v:shape id="__TH_B13138" o:spid="_x0000_s1026" o:spt="202" type="#_x0000_t202" style="position:absolute;left:4529;top:2440;height:262;width:253;" filled="f" stroked="f" coordsize="21600,21600" o:gfxdata="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v7W&#10;rc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50A07E36">
                              <w:r>
                                <w:rPr>
                                  <w:rFonts w:hint="eastAsia"/>
                                </w:rPr>
                                <w:t>类</w:t>
                              </w:r>
                            </w:p>
                          </w:txbxContent>
                        </v:textbox>
                      </v:shape>
                      <v:shape id="__TH_B14139" o:spid="_x0000_s1026" o:spt="202" type="#_x0000_t202" style="position:absolute;left:4872;top:2479;height:263;width:253;" filled="f" stroked="f" coordsize="21600,21600" o:gfxdata="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3v&#10;4S7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0C48A834">
                              <w:r>
                                <w:rPr>
                                  <w:rFonts w:hint="eastAsia"/>
                                </w:rPr>
                                <w:t>别</w:t>
                              </w:r>
                            </w:p>
                          </w:txbxContent>
                        </v:textbox>
                      </v:shape>
                      <v:shape id="__TH_B21140" o:spid="_x0000_s1026" o:spt="202" type="#_x0000_t202" style="position:absolute;left:4085;top:2722;height:262;width:214;" filled="f" stroked="f" coordsize="21600,21600" o:gfxdata="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OU&#10;HF7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7626652E">
                              <w:r>
                                <w:rPr>
                                  <w:rFonts w:hint="eastAsia"/>
                                </w:rPr>
                                <w:t>费</w:t>
                              </w:r>
                            </w:p>
                          </w:txbxContent>
                        </v:textbox>
                      </v:shape>
                      <v:shape id="__TH_B22141" o:spid="_x0000_s1026" o:spt="202" type="#_x0000_t202" style="position:absolute;left:4749;top:2958;height:263;width:253;" filled="f" stroked="f" coordsize="21600,21600" o:gfxdata="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HX+iuL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14:paraId="15BC0404">
                              <w:r>
                                <w:rPr>
                                  <w:rFonts w:hint="eastAsia"/>
                                </w:rPr>
                                <w:t>率</w:t>
                              </w:r>
                            </w:p>
                          </w:txbxContent>
                        </v:textbox>
                      </v:shape>
                      <v:shape id="__TH_B31142" o:spid="_x0000_s1026" o:spt="202" type="#_x0000_t202" style="position:absolute;left:2890;top:2873;height:263;width:253;" filled="f" stroked="f" coordsize="21600,21600" o:gfxdata="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a84&#10;/c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03D3D8E2">
                              <w:r>
                                <w:rPr>
                                  <w:rFonts w:hint="eastAsia"/>
                                </w:rPr>
                                <w:t>中</w:t>
                              </w:r>
                            </w:p>
                          </w:txbxContent>
                        </v:textbox>
                      </v:shape>
                      <v:shape id="__TH_B32143" o:spid="_x0000_s1026" o:spt="202" type="#_x0000_t202" style="position:absolute;left:3137;top:2930;height:263;width:253;" filled="f" stroked="f" coordsize="21600,21600" o:gfxdata="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Pt+f6b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14:paraId="023DB22F">
                              <w:r>
                                <w:rPr>
                                  <w:rFonts w:hint="eastAsia"/>
                                </w:rPr>
                                <w:t>标</w:t>
                              </w:r>
                            </w:p>
                          </w:txbxContent>
                        </v:textbox>
                      </v:shape>
                      <v:shape id="__TH_B33144" o:spid="_x0000_s1026" o:spt="202" type="#_x0000_t202" style="position:absolute;left:3384;top:2987;height:263;width:252;" filled="f" stroked="f" coordsize="21600,21600" o:gfxdata="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GRq2vz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14:paraId="4CF2DD4E">
                              <w:r>
                                <w:rPr>
                                  <w:rFonts w:hint="eastAsia"/>
                                </w:rPr>
                                <w:t>金</w:t>
                              </w:r>
                            </w:p>
                          </w:txbxContent>
                        </v:textbox>
                      </v:shape>
                      <v:shape id="__TH_B34145" o:spid="_x0000_s1026" o:spt="202" type="#_x0000_t202" style="position:absolute;left:3631;top:3044;height:263;width:252;" filled="f" stroked="f" coordsize="21600,21600" o:gfxdata="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fa&#10;nFD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148B77CD">
                              <w:r>
                                <w:rPr>
                                  <w:rFonts w:hint="eastAsia"/>
                                </w:rPr>
                                <w:t>额</w:t>
                              </w:r>
                            </w:p>
                          </w:txbxContent>
                        </v:textbox>
                      </v:shape>
                      <v:shape id="__TH_B35146" o:spid="_x0000_s1026" o:spt="202" type="#_x0000_t202" style="position:absolute;left:3877;top:3101;height:262;width:253;" filled="f" stroked="f" coordsize="21600,21600" o:gfxdata="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LYCsEH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14:paraId="2C379F41">
                              <w:r>
                                <w:rPr>
                                  <w:rFonts w:hint="eastAsia"/>
                                </w:rPr>
                                <w:t>（</w:t>
                              </w:r>
                            </w:p>
                          </w:txbxContent>
                        </v:textbox>
                      </v:shape>
                      <v:shape id="__TH_B36147" o:spid="_x0000_s1026" o:spt="202" type="#_x0000_t202" style="position:absolute;left:4124;top:3158;height:262;width:253;" filled="f" stroked="f" coordsize="21600,21600" o:gfxdata="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frp&#10;C8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2DCD3D2F">
                              <w:r>
                                <w:rPr>
                                  <w:rFonts w:hint="eastAsia"/>
                                </w:rPr>
                                <w:t>万</w:t>
                              </w:r>
                            </w:p>
                          </w:txbxContent>
                        </v:textbox>
                      </v:shape>
                      <v:shape id="__TH_B37148" o:spid="_x0000_s1026" o:spt="202" type="#_x0000_t202" style="position:absolute;left:4395;top:3215;height:262;width:204;" filled="f" stroked="f" coordsize="21600,21600" o:gfxdata="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BS&#10;Ewz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08A5ED46">
                              <w:r>
                                <w:rPr>
                                  <w:rFonts w:hint="eastAsia"/>
                                </w:rPr>
                                <w:t>元</w:t>
                              </w:r>
                            </w:p>
                          </w:txbxContent>
                        </v:textbox>
                      </v:shape>
                      <v:shape id="__TH_B38149" o:spid="_x0000_s1026" o:spt="202" type="#_x0000_t202" style="position:absolute;left:4713;top:3272;height:262;width:62;" filled="f" stroked="f" coordsize="21600,21600" o:gfxdata="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03&#10;7CH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236DA600">
                              <w:r>
                                <w:rPr>
                                  <w:rFonts w:hint="eastAsia"/>
                                </w:rPr>
                                <w:t>）</w:t>
                              </w:r>
                            </w:p>
                          </w:txbxContent>
                        </v:textbox>
                      </v:shape>
                    </v:group>
                  </w:pict>
                </mc:Fallback>
              </mc:AlternateContent>
            </w:r>
          </w:p>
        </w:tc>
        <w:tc>
          <w:tcPr>
            <w:tcW w:w="1039" w:type="pct"/>
            <w:tcBorders>
              <w:top w:val="single" w:color="auto" w:sz="4" w:space="0"/>
              <w:left w:val="single" w:color="auto" w:sz="4" w:space="0"/>
              <w:bottom w:val="single" w:color="auto" w:sz="4" w:space="0"/>
              <w:right w:val="single" w:color="auto" w:sz="4" w:space="0"/>
            </w:tcBorders>
            <w:vAlign w:val="center"/>
          </w:tcPr>
          <w:p w14:paraId="30393237">
            <w:pPr>
              <w:pStyle w:val="31"/>
              <w:widowControl w:val="0"/>
              <w:pBdr>
                <w:left w:val="none" w:color="auto" w:sz="0" w:space="0"/>
                <w:bottom w:val="none" w:color="auto" w:sz="0" w:space="0"/>
                <w:right w:val="none" w:color="auto" w:sz="0" w:space="0"/>
              </w:pBdr>
              <w:shd w:val="clear"/>
              <w:adjustRightInd w:val="0"/>
              <w:snapToGrid w:val="0"/>
              <w:spacing w:before="0" w:beforeAutospacing="0" w:after="0" w:afterAutospacing="0" w:line="360" w:lineRule="auto"/>
              <w:ind w:right="-2"/>
              <w:rPr>
                <w:rFonts w:hint="eastAsia" w:ascii="宋体" w:eastAsia="宋体"/>
                <w:color w:val="auto"/>
                <w:kern w:val="2"/>
                <w:highlight w:val="none"/>
              </w:rPr>
            </w:pPr>
            <w:r>
              <w:rPr>
                <w:rFonts w:ascii="宋体" w:eastAsia="宋体"/>
                <w:color w:val="auto"/>
                <w:kern w:val="2"/>
                <w:highlight w:val="none"/>
              </w:rPr>
              <w:t>货物招标</w:t>
            </w:r>
          </w:p>
        </w:tc>
        <w:tc>
          <w:tcPr>
            <w:tcW w:w="1170" w:type="pct"/>
            <w:tcBorders>
              <w:top w:val="single" w:color="auto" w:sz="4" w:space="0"/>
              <w:left w:val="single" w:color="auto" w:sz="4" w:space="0"/>
              <w:bottom w:val="single" w:color="auto" w:sz="4" w:space="0"/>
              <w:right w:val="single" w:color="auto" w:sz="4" w:space="0"/>
            </w:tcBorders>
            <w:vAlign w:val="center"/>
          </w:tcPr>
          <w:p w14:paraId="04C59957">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服务招标</w:t>
            </w:r>
          </w:p>
        </w:tc>
        <w:tc>
          <w:tcPr>
            <w:tcW w:w="1170" w:type="pct"/>
            <w:tcBorders>
              <w:top w:val="single" w:color="auto" w:sz="4" w:space="0"/>
              <w:left w:val="single" w:color="auto" w:sz="4" w:space="0"/>
              <w:bottom w:val="single" w:color="auto" w:sz="4" w:space="0"/>
              <w:right w:val="single" w:color="auto" w:sz="4" w:space="0"/>
            </w:tcBorders>
            <w:vAlign w:val="center"/>
          </w:tcPr>
          <w:p w14:paraId="01AA861C">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工程招标</w:t>
            </w:r>
          </w:p>
        </w:tc>
      </w:tr>
      <w:tr w14:paraId="0055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620" w:type="pct"/>
            <w:tcBorders>
              <w:top w:val="single" w:color="auto" w:sz="4" w:space="0"/>
              <w:left w:val="single" w:color="auto" w:sz="4" w:space="0"/>
              <w:bottom w:val="single" w:color="auto" w:sz="4" w:space="0"/>
              <w:right w:val="single" w:color="auto" w:sz="4" w:space="0"/>
            </w:tcBorders>
            <w:vAlign w:val="center"/>
          </w:tcPr>
          <w:p w14:paraId="2B95EA6E">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100以下</w:t>
            </w:r>
          </w:p>
        </w:tc>
        <w:tc>
          <w:tcPr>
            <w:tcW w:w="1039" w:type="pct"/>
            <w:tcBorders>
              <w:top w:val="single" w:color="auto" w:sz="4" w:space="0"/>
              <w:left w:val="single" w:color="auto" w:sz="4" w:space="0"/>
              <w:bottom w:val="single" w:color="auto" w:sz="4" w:space="0"/>
              <w:right w:val="single" w:color="auto" w:sz="4" w:space="0"/>
            </w:tcBorders>
            <w:vAlign w:val="center"/>
          </w:tcPr>
          <w:p w14:paraId="7FBAC4C8">
            <w:pPr>
              <w:pStyle w:val="12"/>
              <w:pBdr>
                <w:bottom w:val="none" w:color="auto" w:sz="0" w:space="0"/>
              </w:pBdr>
              <w:shd w:val="clear"/>
              <w:tabs>
                <w:tab w:val="left" w:pos="420"/>
              </w:tabs>
              <w:spacing w:after="0" w:line="360" w:lineRule="auto"/>
              <w:ind w:right="-2" w:firstLine="480"/>
              <w:rPr>
                <w:rFonts w:ascii="宋体"/>
                <w:color w:val="auto"/>
                <w:sz w:val="24"/>
                <w:szCs w:val="24"/>
                <w:highlight w:val="none"/>
              </w:rPr>
            </w:pPr>
            <w:r>
              <w:rPr>
                <w:rFonts w:hint="eastAsia" w:ascii="宋体"/>
                <w:color w:val="auto"/>
                <w:sz w:val="24"/>
                <w:szCs w:val="24"/>
                <w:highlight w:val="none"/>
              </w:rPr>
              <w:t>1.5%</w:t>
            </w:r>
          </w:p>
        </w:tc>
        <w:tc>
          <w:tcPr>
            <w:tcW w:w="1170" w:type="pct"/>
            <w:tcBorders>
              <w:top w:val="single" w:color="auto" w:sz="4" w:space="0"/>
              <w:left w:val="single" w:color="auto" w:sz="4" w:space="0"/>
              <w:bottom w:val="single" w:color="auto" w:sz="4" w:space="0"/>
              <w:right w:val="single" w:color="auto" w:sz="4" w:space="0"/>
            </w:tcBorders>
            <w:vAlign w:val="center"/>
          </w:tcPr>
          <w:p w14:paraId="5E637C6C">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1.5%</w:t>
            </w:r>
          </w:p>
        </w:tc>
        <w:tc>
          <w:tcPr>
            <w:tcW w:w="1170" w:type="pct"/>
            <w:tcBorders>
              <w:top w:val="single" w:color="auto" w:sz="4" w:space="0"/>
              <w:left w:val="single" w:color="auto" w:sz="4" w:space="0"/>
              <w:bottom w:val="single" w:color="auto" w:sz="4" w:space="0"/>
              <w:right w:val="single" w:color="auto" w:sz="4" w:space="0"/>
            </w:tcBorders>
            <w:vAlign w:val="center"/>
          </w:tcPr>
          <w:p w14:paraId="5F69E246">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w:t>
            </w:r>
          </w:p>
        </w:tc>
      </w:tr>
      <w:tr w14:paraId="57F3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620" w:type="pct"/>
            <w:tcBorders>
              <w:top w:val="single" w:color="auto" w:sz="4" w:space="0"/>
              <w:left w:val="single" w:color="auto" w:sz="4" w:space="0"/>
              <w:bottom w:val="single" w:color="auto" w:sz="4" w:space="0"/>
              <w:right w:val="single" w:color="auto" w:sz="4" w:space="0"/>
            </w:tcBorders>
            <w:vAlign w:val="center"/>
          </w:tcPr>
          <w:p w14:paraId="2FF6C2F3">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100--500</w:t>
            </w:r>
          </w:p>
        </w:tc>
        <w:tc>
          <w:tcPr>
            <w:tcW w:w="1039" w:type="pct"/>
            <w:tcBorders>
              <w:top w:val="single" w:color="auto" w:sz="4" w:space="0"/>
              <w:left w:val="single" w:color="auto" w:sz="4" w:space="0"/>
              <w:bottom w:val="single" w:color="auto" w:sz="4" w:space="0"/>
              <w:right w:val="single" w:color="auto" w:sz="4" w:space="0"/>
            </w:tcBorders>
            <w:vAlign w:val="center"/>
          </w:tcPr>
          <w:p w14:paraId="5367A34D">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1.1%</w:t>
            </w:r>
          </w:p>
        </w:tc>
        <w:tc>
          <w:tcPr>
            <w:tcW w:w="1170" w:type="pct"/>
            <w:tcBorders>
              <w:top w:val="single" w:color="auto" w:sz="4" w:space="0"/>
              <w:left w:val="single" w:color="auto" w:sz="4" w:space="0"/>
              <w:bottom w:val="single" w:color="auto" w:sz="4" w:space="0"/>
              <w:right w:val="single" w:color="auto" w:sz="4" w:space="0"/>
            </w:tcBorders>
            <w:vAlign w:val="center"/>
          </w:tcPr>
          <w:p w14:paraId="35561F20">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0.8%</w:t>
            </w:r>
          </w:p>
        </w:tc>
        <w:tc>
          <w:tcPr>
            <w:tcW w:w="1170" w:type="pct"/>
            <w:tcBorders>
              <w:top w:val="single" w:color="auto" w:sz="4" w:space="0"/>
              <w:left w:val="single" w:color="auto" w:sz="4" w:space="0"/>
              <w:bottom w:val="single" w:color="auto" w:sz="4" w:space="0"/>
              <w:right w:val="single" w:color="auto" w:sz="4" w:space="0"/>
            </w:tcBorders>
            <w:vAlign w:val="center"/>
          </w:tcPr>
          <w:p w14:paraId="0F7AE2D8">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0.7%</w:t>
            </w:r>
          </w:p>
        </w:tc>
      </w:tr>
      <w:tr w14:paraId="2A4A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620" w:type="pct"/>
            <w:tcBorders>
              <w:top w:val="single" w:color="auto" w:sz="4" w:space="0"/>
              <w:left w:val="single" w:color="auto" w:sz="4" w:space="0"/>
              <w:bottom w:val="single" w:color="auto" w:sz="4" w:space="0"/>
              <w:right w:val="single" w:color="auto" w:sz="4" w:space="0"/>
            </w:tcBorders>
            <w:vAlign w:val="center"/>
          </w:tcPr>
          <w:p w14:paraId="57A846C5">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500--1000</w:t>
            </w:r>
          </w:p>
        </w:tc>
        <w:tc>
          <w:tcPr>
            <w:tcW w:w="1039" w:type="pct"/>
            <w:tcBorders>
              <w:top w:val="single" w:color="auto" w:sz="4" w:space="0"/>
              <w:left w:val="single" w:color="auto" w:sz="4" w:space="0"/>
              <w:bottom w:val="single" w:color="auto" w:sz="4" w:space="0"/>
              <w:right w:val="single" w:color="auto" w:sz="4" w:space="0"/>
            </w:tcBorders>
            <w:vAlign w:val="center"/>
          </w:tcPr>
          <w:p w14:paraId="7EFFA204">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0.8%</w:t>
            </w:r>
          </w:p>
        </w:tc>
        <w:tc>
          <w:tcPr>
            <w:tcW w:w="1170" w:type="pct"/>
            <w:tcBorders>
              <w:top w:val="single" w:color="auto" w:sz="4" w:space="0"/>
              <w:left w:val="single" w:color="auto" w:sz="4" w:space="0"/>
              <w:bottom w:val="single" w:color="auto" w:sz="4" w:space="0"/>
              <w:right w:val="single" w:color="auto" w:sz="4" w:space="0"/>
            </w:tcBorders>
            <w:vAlign w:val="center"/>
          </w:tcPr>
          <w:p w14:paraId="712769C7">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0.45%</w:t>
            </w:r>
          </w:p>
        </w:tc>
        <w:tc>
          <w:tcPr>
            <w:tcW w:w="1170" w:type="pct"/>
            <w:tcBorders>
              <w:top w:val="single" w:color="auto" w:sz="4" w:space="0"/>
              <w:left w:val="single" w:color="auto" w:sz="4" w:space="0"/>
              <w:bottom w:val="single" w:color="auto" w:sz="4" w:space="0"/>
              <w:right w:val="single" w:color="auto" w:sz="4" w:space="0"/>
            </w:tcBorders>
            <w:vAlign w:val="center"/>
          </w:tcPr>
          <w:p w14:paraId="0AFF97C1">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0.55%</w:t>
            </w:r>
          </w:p>
        </w:tc>
      </w:tr>
      <w:tr w14:paraId="5E14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620" w:type="pct"/>
            <w:tcBorders>
              <w:top w:val="single" w:color="auto" w:sz="4" w:space="0"/>
              <w:left w:val="single" w:color="auto" w:sz="4" w:space="0"/>
              <w:bottom w:val="single" w:color="auto" w:sz="4" w:space="0"/>
              <w:right w:val="single" w:color="auto" w:sz="4" w:space="0"/>
            </w:tcBorders>
            <w:vAlign w:val="center"/>
          </w:tcPr>
          <w:p w14:paraId="1981AF9D">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1000--5000</w:t>
            </w:r>
          </w:p>
        </w:tc>
        <w:tc>
          <w:tcPr>
            <w:tcW w:w="1039" w:type="pct"/>
            <w:tcBorders>
              <w:top w:val="single" w:color="auto" w:sz="4" w:space="0"/>
              <w:left w:val="single" w:color="auto" w:sz="4" w:space="0"/>
              <w:bottom w:val="single" w:color="auto" w:sz="4" w:space="0"/>
              <w:right w:val="single" w:color="auto" w:sz="4" w:space="0"/>
            </w:tcBorders>
            <w:vAlign w:val="center"/>
          </w:tcPr>
          <w:p w14:paraId="51E4253A">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0.5%</w:t>
            </w:r>
          </w:p>
        </w:tc>
        <w:tc>
          <w:tcPr>
            <w:tcW w:w="1170" w:type="pct"/>
            <w:tcBorders>
              <w:top w:val="single" w:color="auto" w:sz="4" w:space="0"/>
              <w:left w:val="single" w:color="auto" w:sz="4" w:space="0"/>
              <w:bottom w:val="single" w:color="auto" w:sz="4" w:space="0"/>
              <w:right w:val="single" w:color="auto" w:sz="4" w:space="0"/>
            </w:tcBorders>
            <w:vAlign w:val="center"/>
          </w:tcPr>
          <w:p w14:paraId="1C24A364">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0.25%</w:t>
            </w:r>
          </w:p>
        </w:tc>
        <w:tc>
          <w:tcPr>
            <w:tcW w:w="1170" w:type="pct"/>
            <w:tcBorders>
              <w:top w:val="single" w:color="auto" w:sz="4" w:space="0"/>
              <w:left w:val="single" w:color="auto" w:sz="4" w:space="0"/>
              <w:bottom w:val="single" w:color="auto" w:sz="4" w:space="0"/>
              <w:right w:val="single" w:color="auto" w:sz="4" w:space="0"/>
            </w:tcBorders>
            <w:vAlign w:val="center"/>
          </w:tcPr>
          <w:p w14:paraId="023939FE">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0.35%</w:t>
            </w:r>
          </w:p>
        </w:tc>
      </w:tr>
      <w:tr w14:paraId="6FB3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620" w:type="pct"/>
            <w:tcBorders>
              <w:top w:val="single" w:color="auto" w:sz="4" w:space="0"/>
              <w:left w:val="single" w:color="auto" w:sz="4" w:space="0"/>
              <w:bottom w:val="single" w:color="auto" w:sz="4" w:space="0"/>
              <w:right w:val="single" w:color="auto" w:sz="4" w:space="0"/>
            </w:tcBorders>
            <w:vAlign w:val="center"/>
          </w:tcPr>
          <w:p w14:paraId="638791BC">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5000--10000</w:t>
            </w:r>
          </w:p>
        </w:tc>
        <w:tc>
          <w:tcPr>
            <w:tcW w:w="1039" w:type="pct"/>
            <w:tcBorders>
              <w:top w:val="single" w:color="auto" w:sz="4" w:space="0"/>
              <w:left w:val="single" w:color="auto" w:sz="4" w:space="0"/>
              <w:bottom w:val="single" w:color="auto" w:sz="4" w:space="0"/>
              <w:right w:val="single" w:color="auto" w:sz="4" w:space="0"/>
            </w:tcBorders>
            <w:vAlign w:val="center"/>
          </w:tcPr>
          <w:p w14:paraId="1B97CF89">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0.25%</w:t>
            </w:r>
          </w:p>
        </w:tc>
        <w:tc>
          <w:tcPr>
            <w:tcW w:w="1170" w:type="pct"/>
            <w:tcBorders>
              <w:top w:val="single" w:color="auto" w:sz="4" w:space="0"/>
              <w:left w:val="single" w:color="auto" w:sz="4" w:space="0"/>
              <w:bottom w:val="single" w:color="auto" w:sz="4" w:space="0"/>
              <w:right w:val="single" w:color="auto" w:sz="4" w:space="0"/>
            </w:tcBorders>
            <w:vAlign w:val="center"/>
          </w:tcPr>
          <w:p w14:paraId="4D2AD65A">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0.1%</w:t>
            </w:r>
          </w:p>
        </w:tc>
        <w:tc>
          <w:tcPr>
            <w:tcW w:w="1170" w:type="pct"/>
            <w:tcBorders>
              <w:top w:val="single" w:color="auto" w:sz="4" w:space="0"/>
              <w:left w:val="single" w:color="auto" w:sz="4" w:space="0"/>
              <w:bottom w:val="single" w:color="auto" w:sz="4" w:space="0"/>
              <w:right w:val="single" w:color="auto" w:sz="4" w:space="0"/>
            </w:tcBorders>
            <w:vAlign w:val="center"/>
          </w:tcPr>
          <w:p w14:paraId="528A11CF">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0.2%</w:t>
            </w:r>
          </w:p>
        </w:tc>
      </w:tr>
      <w:tr w14:paraId="39EB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620" w:type="pct"/>
            <w:tcBorders>
              <w:top w:val="single" w:color="auto" w:sz="4" w:space="0"/>
              <w:left w:val="single" w:color="auto" w:sz="4" w:space="0"/>
              <w:bottom w:val="single" w:color="auto" w:sz="4" w:space="0"/>
              <w:right w:val="single" w:color="auto" w:sz="4" w:space="0"/>
            </w:tcBorders>
            <w:vAlign w:val="center"/>
          </w:tcPr>
          <w:p w14:paraId="6499905D">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10000--100000</w:t>
            </w:r>
          </w:p>
        </w:tc>
        <w:tc>
          <w:tcPr>
            <w:tcW w:w="1039" w:type="pct"/>
            <w:tcBorders>
              <w:top w:val="single" w:color="auto" w:sz="4" w:space="0"/>
              <w:left w:val="single" w:color="auto" w:sz="4" w:space="0"/>
              <w:bottom w:val="single" w:color="auto" w:sz="4" w:space="0"/>
              <w:right w:val="single" w:color="auto" w:sz="4" w:space="0"/>
            </w:tcBorders>
            <w:vAlign w:val="center"/>
          </w:tcPr>
          <w:p w14:paraId="0BEAECAD">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0.05%</w:t>
            </w:r>
          </w:p>
        </w:tc>
        <w:tc>
          <w:tcPr>
            <w:tcW w:w="1170" w:type="pct"/>
            <w:tcBorders>
              <w:top w:val="single" w:color="auto" w:sz="4" w:space="0"/>
              <w:left w:val="single" w:color="auto" w:sz="4" w:space="0"/>
              <w:bottom w:val="single" w:color="auto" w:sz="4" w:space="0"/>
              <w:right w:val="single" w:color="auto" w:sz="4" w:space="0"/>
            </w:tcBorders>
            <w:vAlign w:val="center"/>
          </w:tcPr>
          <w:p w14:paraId="5BCA8353">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0.05%</w:t>
            </w:r>
          </w:p>
        </w:tc>
        <w:tc>
          <w:tcPr>
            <w:tcW w:w="1170" w:type="pct"/>
            <w:tcBorders>
              <w:top w:val="single" w:color="auto" w:sz="4" w:space="0"/>
              <w:left w:val="single" w:color="auto" w:sz="4" w:space="0"/>
              <w:bottom w:val="single" w:color="auto" w:sz="4" w:space="0"/>
              <w:right w:val="single" w:color="auto" w:sz="4" w:space="0"/>
            </w:tcBorders>
            <w:vAlign w:val="center"/>
          </w:tcPr>
          <w:p w14:paraId="1AB45319">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0.05%</w:t>
            </w:r>
          </w:p>
        </w:tc>
      </w:tr>
    </w:tbl>
    <w:p w14:paraId="7742BD3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注：招标代理服务收费按差额定率累进法计算。例如：某货物招标代理业务中标金额为100000万元，计算招标代理服务收费额如下：</w:t>
      </w:r>
    </w:p>
    <w:p w14:paraId="7B92DFFB">
      <w:pPr>
        <w:shd w:val="clear"/>
        <w:spacing w:after="0" w:line="360" w:lineRule="auto"/>
        <w:ind w:right="-2" w:firstLine="1080" w:firstLineChars="450"/>
        <w:outlineLvl w:val="0"/>
        <w:rPr>
          <w:rFonts w:hint="eastAsia" w:ascii="宋体" w:hAnsi="宋体"/>
          <w:color w:val="auto"/>
          <w:sz w:val="24"/>
          <w:highlight w:val="none"/>
        </w:rPr>
      </w:pPr>
      <w:r>
        <w:rPr>
          <w:rFonts w:hint="eastAsia" w:ascii="宋体" w:hAnsi="宋体"/>
          <w:color w:val="auto"/>
          <w:sz w:val="24"/>
          <w:highlight w:val="none"/>
        </w:rPr>
        <w:t>100万元×1.5％＝1.5万元</w:t>
      </w:r>
    </w:p>
    <w:p w14:paraId="508B3636">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（500-100）万元×1.1％＝4.4万元</w:t>
      </w:r>
    </w:p>
    <w:p w14:paraId="0AE12F8E">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（1000-500）万元×0.8％＝4万元</w:t>
      </w:r>
    </w:p>
    <w:p w14:paraId="59338596">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（5000-1000）万元×0.5％＝20万元</w:t>
      </w:r>
    </w:p>
    <w:p w14:paraId="63A2C057">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（10000-5000）万元×0.25％=12.5万元</w:t>
      </w:r>
    </w:p>
    <w:p w14:paraId="7D335648">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（100000-10000）万元×0.05％=45万元</w:t>
      </w:r>
    </w:p>
    <w:p w14:paraId="3EADD299">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合计收费=1.5十4.4＋4＋20+12.5+45＝87.4（万元）</w:t>
      </w:r>
    </w:p>
    <w:p w14:paraId="6E1642C3">
      <w:pPr>
        <w:shd w:val="clear"/>
        <w:spacing w:after="0" w:line="360" w:lineRule="auto"/>
        <w:ind w:right="-2" w:firstLine="480" w:firstLineChars="200"/>
        <w:rPr>
          <w:rFonts w:hint="eastAsia" w:ascii="宋体" w:hAnsi="宋体"/>
          <w:color w:val="auto"/>
          <w:sz w:val="24"/>
          <w:highlight w:val="none"/>
        </w:rPr>
      </w:pPr>
      <w:r>
        <w:rPr>
          <w:rFonts w:hint="eastAsia" w:ascii="宋体" w:hAnsi="宋体"/>
          <w:bCs/>
          <w:color w:val="auto"/>
          <w:sz w:val="24"/>
          <w:highlight w:val="none"/>
        </w:rPr>
        <w:t>3.本次招标代理服务费按服务</w:t>
      </w:r>
      <w:r>
        <w:rPr>
          <w:rFonts w:hint="eastAsia" w:ascii="宋体" w:hAnsi="宋体"/>
          <w:bCs/>
          <w:color w:val="auto"/>
          <w:sz w:val="24"/>
          <w:highlight w:val="none"/>
          <w:lang w:val="en-US" w:eastAsia="zh-CN"/>
        </w:rPr>
        <w:t>招标标准向</w:t>
      </w:r>
      <w:r>
        <w:rPr>
          <w:rFonts w:hint="eastAsia" w:ascii="宋体" w:hAnsi="宋体"/>
          <w:bCs/>
          <w:color w:val="auto"/>
          <w:sz w:val="24"/>
          <w:highlight w:val="none"/>
        </w:rPr>
        <w:t>中标人收取。</w:t>
      </w:r>
    </w:p>
    <w:p w14:paraId="734CE3F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4.服务费收款账户名：辽宁和泰项目管理有限公司</w:t>
      </w:r>
    </w:p>
    <w:p w14:paraId="572C10D9">
      <w:pPr>
        <w:shd w:val="clear"/>
        <w:spacing w:after="0" w:line="360" w:lineRule="auto"/>
        <w:ind w:right="-2" w:firstLine="720" w:firstLineChars="300"/>
        <w:rPr>
          <w:rFonts w:hint="eastAsia" w:ascii="宋体" w:hAnsi="宋体"/>
          <w:color w:val="auto"/>
          <w:sz w:val="24"/>
          <w:highlight w:val="none"/>
        </w:rPr>
      </w:pPr>
      <w:r>
        <w:rPr>
          <w:rFonts w:hint="eastAsia" w:ascii="宋体" w:hAnsi="宋体"/>
          <w:color w:val="auto"/>
          <w:sz w:val="24"/>
          <w:highlight w:val="none"/>
        </w:rPr>
        <w:t>开户银行及账号：</w:t>
      </w:r>
      <w:bookmarkStart w:id="19" w:name="_Hlk196404856"/>
      <w:r>
        <w:rPr>
          <w:rFonts w:hint="eastAsia" w:ascii="宋体" w:hAnsi="宋体"/>
          <w:color w:val="auto"/>
          <w:sz w:val="24"/>
          <w:highlight w:val="none"/>
        </w:rPr>
        <w:t>中国工商银行股份有限公司大连甘井子支行3400201109300133210</w:t>
      </w:r>
      <w:bookmarkEnd w:id="19"/>
    </w:p>
    <w:p w14:paraId="228D232F">
      <w:pPr>
        <w:shd w:val="clear"/>
        <w:spacing w:after="0" w:line="360" w:lineRule="auto"/>
        <w:ind w:right="-2" w:firstLine="361" w:firstLineChars="150"/>
        <w:rPr>
          <w:rFonts w:hint="eastAsia" w:ascii="宋体" w:hAnsi="宋体"/>
          <w:b/>
          <w:bCs/>
          <w:color w:val="auto"/>
          <w:sz w:val="24"/>
          <w:highlight w:val="none"/>
        </w:rPr>
      </w:pPr>
      <w:r>
        <w:rPr>
          <w:rFonts w:hint="eastAsia" w:ascii="宋体" w:hAnsi="宋体"/>
          <w:b/>
          <w:bCs/>
          <w:color w:val="auto"/>
          <w:sz w:val="24"/>
          <w:highlight w:val="none"/>
        </w:rPr>
        <w:t>（二）质疑与接收</w:t>
      </w:r>
    </w:p>
    <w:p w14:paraId="082B6297">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1.投标人认为招标文件、招标过程和中标结果使自己的权益受到损害的，可以按照《中华人民共和国政府采购法》、《中华人民共和国政府采购法实施条例》和《政府采购质疑和投诉办法》的有关规定，</w:t>
      </w:r>
      <w:r>
        <w:rPr>
          <w:rFonts w:hint="eastAsia" w:ascii="宋体" w:hAnsi="宋体"/>
          <w:color w:val="auto"/>
          <w:sz w:val="24"/>
          <w:highlight w:val="none"/>
        </w:rPr>
        <w:t>在知道或者应知其权益受到损害之日起七个工作日内，</w:t>
      </w:r>
      <w:r>
        <w:rPr>
          <w:rFonts w:hint="eastAsia" w:ascii="宋体" w:hAnsi="宋体"/>
          <w:bCs/>
          <w:color w:val="auto"/>
          <w:sz w:val="24"/>
          <w:highlight w:val="none"/>
        </w:rPr>
        <w:t>依法向采购人或其委托的采购代理机构提出质疑。</w:t>
      </w:r>
    </w:p>
    <w:p w14:paraId="59EB2D0A">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2.质疑投标人应参照财政部门制定的《政府采购质疑函范本》格式和《政府采购质疑和投诉办法》的要求，在法定质疑期内以纸质形式提出质疑，针对同一采购程序环节的质疑应一次性提出</w:t>
      </w:r>
      <w:r>
        <w:rPr>
          <w:rFonts w:hint="eastAsia" w:ascii="宋体" w:hAnsi="宋体"/>
          <w:color w:val="auto"/>
          <w:sz w:val="24"/>
          <w:highlight w:val="none"/>
        </w:rPr>
        <w:t>，否则针对再次提出质疑将不予接收</w:t>
      </w:r>
      <w:r>
        <w:rPr>
          <w:rFonts w:hint="eastAsia" w:ascii="宋体" w:hAnsi="宋体"/>
          <w:bCs/>
          <w:color w:val="auto"/>
          <w:sz w:val="24"/>
          <w:highlight w:val="none"/>
        </w:rPr>
        <w:t>。</w:t>
      </w:r>
      <w:r>
        <w:rPr>
          <w:rFonts w:hint="eastAsia" w:ascii="宋体" w:hAnsi="宋体"/>
          <w:color w:val="auto"/>
          <w:sz w:val="24"/>
          <w:highlight w:val="none"/>
        </w:rPr>
        <w:t>（采购程序环节分为：招标文件、招标过程、中标结果）</w:t>
      </w:r>
    </w:p>
    <w:p w14:paraId="12B4BE61">
      <w:pPr>
        <w:shd w:val="clear"/>
        <w:spacing w:after="0" w:line="360" w:lineRule="auto"/>
        <w:ind w:right="-2" w:firstLine="480" w:firstLineChars="200"/>
        <w:rPr>
          <w:rFonts w:hint="eastAsia" w:ascii="宋体" w:hAnsi="宋体"/>
          <w:bCs/>
          <w:color w:val="auto"/>
          <w:sz w:val="24"/>
          <w:highlight w:val="none"/>
        </w:rPr>
      </w:pPr>
      <w:r>
        <w:rPr>
          <w:rFonts w:hint="eastAsia" w:ascii="宋体" w:hAnsi="宋体"/>
          <w:color w:val="auto"/>
          <w:sz w:val="24"/>
          <w:highlight w:val="none"/>
        </w:rPr>
        <w:t>接收质疑函的方式：接收加盖单位公章的书面纸质疑函</w:t>
      </w:r>
    </w:p>
    <w:p w14:paraId="6268C74D">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联系单位：辽宁和泰项目管理有限公司</w:t>
      </w:r>
    </w:p>
    <w:p w14:paraId="47FA5BEF">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联系电话：0411-82856012</w:t>
      </w:r>
    </w:p>
    <w:p w14:paraId="3F562AD3">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通讯地址：大连市甘井子区泉水A4区43A号建设控股大厦306室</w:t>
      </w:r>
    </w:p>
    <w:p w14:paraId="3B51D61B">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超出法定质疑期的、重复提出的、分次提出的或内容、形式不符合《政府采购质疑和投诉办法》的，质疑投标人将依法承担不利后果。</w:t>
      </w:r>
    </w:p>
    <w:p w14:paraId="6B10789A">
      <w:pPr>
        <w:shd w:val="clear"/>
        <w:spacing w:after="0" w:line="360" w:lineRule="auto"/>
        <w:ind w:right="-2" w:firstLine="480" w:firstLineChars="200"/>
        <w:rPr>
          <w:rFonts w:hint="eastAsia" w:ascii="宋体" w:hAnsi="宋体"/>
          <w:color w:val="auto"/>
          <w:sz w:val="24"/>
          <w:highlight w:val="none"/>
        </w:rPr>
      </w:pPr>
      <w:r>
        <w:rPr>
          <w:rFonts w:hint="eastAsia" w:ascii="宋体" w:hAnsi="宋体"/>
          <w:bCs/>
          <w:color w:val="auto"/>
          <w:sz w:val="24"/>
          <w:highlight w:val="none"/>
        </w:rPr>
        <w:t>3.</w:t>
      </w:r>
      <w:r>
        <w:rPr>
          <w:rFonts w:hint="eastAsia" w:ascii="宋体" w:hAnsi="宋体"/>
          <w:color w:val="auto"/>
          <w:sz w:val="24"/>
          <w:highlight w:val="none"/>
        </w:rPr>
        <w:t>质疑供应商对采购人、采购代理机构的答复不满意，或者采购人、采购代理机构未在规定时间内作出答复的，可以在答复期满后15个工作日内向本级财政部门提起投诉。</w:t>
      </w:r>
    </w:p>
    <w:p w14:paraId="18B8D6A6">
      <w:pPr>
        <w:shd w:val="clear"/>
        <w:spacing w:after="0" w:line="360" w:lineRule="auto"/>
        <w:ind w:right="-2" w:firstLine="480" w:firstLineChars="200"/>
        <w:rPr>
          <w:rFonts w:hint="eastAsia" w:ascii="宋体" w:hAnsi="宋体"/>
          <w:bCs/>
          <w:color w:val="auto"/>
          <w:sz w:val="24"/>
          <w:highlight w:val="none"/>
        </w:rPr>
      </w:pPr>
      <w:r>
        <w:rPr>
          <w:rFonts w:hint="eastAsia" w:ascii="宋体" w:hAnsi="宋体"/>
          <w:color w:val="auto"/>
          <w:sz w:val="24"/>
          <w:highlight w:val="none"/>
        </w:rPr>
        <w:t>注：（允许联合体投标的项目）</w:t>
      </w:r>
      <w:r>
        <w:rPr>
          <w:rFonts w:hint="eastAsia" w:ascii="宋体" w:hAnsi="宋体"/>
          <w:bCs/>
          <w:color w:val="auto"/>
          <w:sz w:val="24"/>
          <w:highlight w:val="none"/>
        </w:rPr>
        <w:t>如</w:t>
      </w:r>
      <w:r>
        <w:rPr>
          <w:rFonts w:hint="eastAsia" w:ascii="宋体" w:hAnsi="宋体"/>
          <w:color w:val="auto"/>
          <w:sz w:val="24"/>
          <w:highlight w:val="none"/>
        </w:rPr>
        <w:t>以联合体形式参加投标的</w:t>
      </w:r>
      <w:r>
        <w:rPr>
          <w:rFonts w:hint="eastAsia" w:ascii="宋体" w:hAnsi="宋体"/>
          <w:bCs/>
          <w:color w:val="auto"/>
          <w:sz w:val="24"/>
          <w:highlight w:val="none"/>
        </w:rPr>
        <w:t>，质疑函须由</w:t>
      </w:r>
      <w:r>
        <w:rPr>
          <w:rFonts w:hint="eastAsia" w:ascii="宋体" w:hAnsi="宋体"/>
          <w:color w:val="auto"/>
          <w:sz w:val="24"/>
          <w:highlight w:val="none"/>
        </w:rPr>
        <w:t>联合体提出，联合体各方均加盖单位公章。</w:t>
      </w:r>
    </w:p>
    <w:p w14:paraId="44E7B96B">
      <w:pPr>
        <w:shd w:val="clear"/>
        <w:spacing w:after="0" w:line="360" w:lineRule="auto"/>
        <w:ind w:right="-2" w:firstLine="361" w:firstLineChars="150"/>
        <w:rPr>
          <w:rFonts w:hint="eastAsia" w:ascii="宋体" w:hAnsi="宋体"/>
          <w:color w:val="auto"/>
          <w:sz w:val="24"/>
          <w:highlight w:val="none"/>
        </w:rPr>
      </w:pPr>
      <w:r>
        <w:rPr>
          <w:rFonts w:hint="eastAsia" w:ascii="宋体" w:hAnsi="宋体"/>
          <w:b/>
          <w:bCs/>
          <w:color w:val="auto"/>
          <w:sz w:val="24"/>
          <w:highlight w:val="none"/>
        </w:rPr>
        <w:t>（三）其他注意事项：</w:t>
      </w:r>
    </w:p>
    <w:p w14:paraId="7F59EF9F">
      <w:pPr>
        <w:shd w:val="clear"/>
        <w:tabs>
          <w:tab w:val="left" w:pos="720"/>
        </w:tabs>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1.投标人被视为充分熟悉本招标项目的技术要求及与履行合同有关的一切情况。</w:t>
      </w:r>
    </w:p>
    <w:p w14:paraId="336B69BB">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2.投标人应遵守我国与政府采购相关的法律、法规及规章条例，不得违反。</w:t>
      </w:r>
    </w:p>
    <w:p w14:paraId="59B251D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3.投标人应详细阅读招标文件的全部内容。不按招标文件的要求提供的报价和资料，可能导致投标文件被拒绝。</w:t>
      </w:r>
    </w:p>
    <w:p w14:paraId="72F99A87">
      <w:pPr>
        <w:shd w:val="clear"/>
        <w:adjustRightInd/>
        <w:snapToGrid/>
        <w:spacing w:line="220" w:lineRule="atLeast"/>
        <w:ind w:right="-2"/>
        <w:rPr>
          <w:rFonts w:hint="eastAsia" w:ascii="宋体" w:hAnsi="宋体"/>
          <w:b/>
          <w:bCs/>
          <w:color w:val="auto"/>
          <w:sz w:val="24"/>
          <w:highlight w:val="none"/>
        </w:rPr>
      </w:pPr>
      <w:r>
        <w:rPr>
          <w:rFonts w:ascii="宋体" w:hAnsi="宋体"/>
          <w:b/>
          <w:bCs/>
          <w:color w:val="auto"/>
          <w:sz w:val="24"/>
          <w:highlight w:val="none"/>
        </w:rPr>
        <w:br w:type="page"/>
      </w:r>
    </w:p>
    <w:p w14:paraId="32BC47CD">
      <w:pPr>
        <w:shd w:val="clear"/>
        <w:spacing w:after="0" w:line="360" w:lineRule="auto"/>
        <w:ind w:right="-2"/>
        <w:jc w:val="center"/>
        <w:rPr>
          <w:rFonts w:hint="eastAsia" w:ascii="宋体" w:hAnsi="宋体"/>
          <w:b/>
          <w:bCs/>
          <w:color w:val="auto"/>
          <w:sz w:val="24"/>
          <w:highlight w:val="none"/>
        </w:rPr>
      </w:pPr>
    </w:p>
    <w:p w14:paraId="57654B8F">
      <w:pPr>
        <w:shd w:val="clear"/>
        <w:spacing w:after="0" w:line="360" w:lineRule="auto"/>
        <w:ind w:right="-2"/>
        <w:jc w:val="center"/>
        <w:rPr>
          <w:rFonts w:hint="eastAsia" w:ascii="宋体" w:hAnsi="宋体"/>
          <w:b/>
          <w:bCs/>
          <w:color w:val="auto"/>
          <w:sz w:val="24"/>
          <w:highlight w:val="none"/>
        </w:rPr>
      </w:pPr>
    </w:p>
    <w:p w14:paraId="71FC1EE2">
      <w:pPr>
        <w:shd w:val="clear"/>
        <w:spacing w:after="0" w:line="360" w:lineRule="auto"/>
        <w:ind w:right="-2"/>
        <w:jc w:val="center"/>
        <w:rPr>
          <w:rFonts w:hint="eastAsia" w:ascii="宋体" w:hAnsi="宋体"/>
          <w:b/>
          <w:bCs/>
          <w:color w:val="auto"/>
          <w:sz w:val="24"/>
          <w:highlight w:val="none"/>
        </w:rPr>
      </w:pPr>
    </w:p>
    <w:p w14:paraId="1AA224D3">
      <w:pPr>
        <w:shd w:val="clear"/>
        <w:spacing w:after="0" w:line="360" w:lineRule="auto"/>
        <w:ind w:right="-2"/>
        <w:jc w:val="center"/>
        <w:rPr>
          <w:rFonts w:hint="eastAsia" w:ascii="宋体" w:hAnsi="宋体"/>
          <w:b/>
          <w:bCs/>
          <w:color w:val="auto"/>
          <w:sz w:val="24"/>
          <w:highlight w:val="none"/>
        </w:rPr>
      </w:pPr>
    </w:p>
    <w:p w14:paraId="740CE42A">
      <w:pPr>
        <w:shd w:val="clear"/>
        <w:spacing w:after="0" w:line="360" w:lineRule="auto"/>
        <w:ind w:right="-2"/>
        <w:jc w:val="center"/>
        <w:rPr>
          <w:rFonts w:hint="eastAsia" w:ascii="宋体" w:hAnsi="宋体"/>
          <w:b/>
          <w:bCs/>
          <w:color w:val="auto"/>
          <w:sz w:val="24"/>
          <w:highlight w:val="none"/>
        </w:rPr>
      </w:pPr>
    </w:p>
    <w:p w14:paraId="7F830E30">
      <w:pPr>
        <w:shd w:val="clear"/>
        <w:spacing w:after="0" w:line="360" w:lineRule="auto"/>
        <w:ind w:right="-2"/>
        <w:jc w:val="center"/>
        <w:rPr>
          <w:rFonts w:hint="eastAsia" w:ascii="宋体" w:hAnsi="宋体"/>
          <w:b/>
          <w:bCs/>
          <w:color w:val="auto"/>
          <w:sz w:val="44"/>
          <w:highlight w:val="none"/>
        </w:rPr>
      </w:pPr>
    </w:p>
    <w:p w14:paraId="6E8909BD">
      <w:pPr>
        <w:shd w:val="clear"/>
        <w:spacing w:after="0" w:line="360" w:lineRule="auto"/>
        <w:ind w:right="-2"/>
        <w:jc w:val="center"/>
        <w:rPr>
          <w:rFonts w:hint="eastAsia" w:ascii="宋体" w:hAnsi="宋体"/>
          <w:b/>
          <w:bCs/>
          <w:color w:val="auto"/>
          <w:sz w:val="44"/>
          <w:highlight w:val="none"/>
        </w:rPr>
      </w:pPr>
    </w:p>
    <w:p w14:paraId="2DFC095B">
      <w:pPr>
        <w:shd w:val="clear"/>
        <w:spacing w:after="0" w:line="360" w:lineRule="auto"/>
        <w:ind w:right="-2"/>
        <w:jc w:val="center"/>
        <w:rPr>
          <w:rFonts w:hint="eastAsia" w:ascii="宋体" w:hAnsi="宋体"/>
          <w:b/>
          <w:bCs/>
          <w:color w:val="auto"/>
          <w:sz w:val="44"/>
          <w:szCs w:val="44"/>
          <w:highlight w:val="none"/>
        </w:rPr>
      </w:pPr>
      <w:r>
        <w:rPr>
          <w:rFonts w:hint="eastAsia" w:ascii="宋体" w:hAnsi="宋体"/>
          <w:b/>
          <w:bCs/>
          <w:color w:val="auto"/>
          <w:sz w:val="44"/>
          <w:szCs w:val="44"/>
          <w:highlight w:val="none"/>
        </w:rPr>
        <w:t xml:space="preserve">第二章 </w:t>
      </w:r>
      <w:r>
        <w:rPr>
          <w:rFonts w:hint="eastAsia"/>
          <w:b/>
          <w:color w:val="auto"/>
          <w:sz w:val="44"/>
          <w:szCs w:val="44"/>
          <w:highlight w:val="none"/>
        </w:rPr>
        <w:t>合同条款及合同格式</w:t>
      </w:r>
    </w:p>
    <w:p w14:paraId="3B58CD0F">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883" w:firstLineChars="200"/>
        <w:jc w:val="center"/>
        <w:textAlignment w:val="auto"/>
        <w:rPr>
          <w:b/>
          <w:color w:val="auto"/>
          <w:sz w:val="36"/>
          <w:szCs w:val="36"/>
          <w:highlight w:val="none"/>
        </w:rPr>
      </w:pPr>
      <w:r>
        <w:rPr>
          <w:rFonts w:ascii="宋体" w:hAnsi="宋体"/>
          <w:b/>
          <w:bCs/>
          <w:color w:val="auto"/>
          <w:sz w:val="44"/>
          <w:highlight w:val="none"/>
        </w:rPr>
        <w:br w:type="page"/>
      </w:r>
      <w:r>
        <w:rPr>
          <w:rFonts w:hint="eastAsia"/>
          <w:b/>
          <w:color w:val="auto"/>
          <w:sz w:val="36"/>
          <w:szCs w:val="36"/>
          <w:highlight w:val="none"/>
        </w:rPr>
        <w:t>合同条款及合同格式</w:t>
      </w:r>
    </w:p>
    <w:p w14:paraId="7FE94699">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项目名称：东港商务区202</w:t>
      </w:r>
      <w:r>
        <w:rPr>
          <w:rFonts w:hint="eastAsia" w:ascii="宋体" w:hAnsi="宋体"/>
          <w:color w:val="auto"/>
          <w:sz w:val="24"/>
          <w:highlight w:val="none"/>
          <w:lang w:val="en-US" w:eastAsia="zh-CN"/>
        </w:rPr>
        <w:t>5</w:t>
      </w:r>
      <w:r>
        <w:rPr>
          <w:rFonts w:hint="eastAsia" w:ascii="宋体" w:hAnsi="宋体"/>
          <w:color w:val="auto"/>
          <w:sz w:val="24"/>
          <w:highlight w:val="none"/>
        </w:rPr>
        <w:t>年灯光音乐喷泉运行维护项目</w:t>
      </w:r>
    </w:p>
    <w:p w14:paraId="0EB9AB86">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甲方：</w:t>
      </w:r>
      <w:r>
        <w:rPr>
          <w:rFonts w:hint="eastAsia" w:ascii="宋体" w:hAnsi="宋体"/>
          <w:color w:val="auto"/>
          <w:sz w:val="24"/>
          <w:highlight w:val="none"/>
          <w:u w:val="single"/>
        </w:rPr>
        <w:t>大连东港商务区开发建设管理集团有限公司</w:t>
      </w:r>
    </w:p>
    <w:p w14:paraId="5E2D2FD7">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Arial" w:hAnsi="Arial" w:cs="Arial"/>
          <w:color w:val="auto"/>
          <w:sz w:val="24"/>
          <w:highlight w:val="none"/>
          <w:u w:val="single"/>
        </w:rPr>
      </w:pPr>
      <w:r>
        <w:rPr>
          <w:rFonts w:ascii="Arial" w:hAnsi="宋体" w:cs="Arial"/>
          <w:color w:val="auto"/>
          <w:sz w:val="24"/>
          <w:highlight w:val="none"/>
        </w:rPr>
        <w:t>乙方：</w:t>
      </w:r>
      <w:r>
        <w:rPr>
          <w:rFonts w:ascii="Arial" w:hAnsi="Arial" w:cs="Arial"/>
          <w:color w:val="auto"/>
          <w:sz w:val="24"/>
          <w:highlight w:val="none"/>
          <w:u w:val="single"/>
        </w:rPr>
        <w:t xml:space="preserve"> </w:t>
      </w:r>
      <w:r>
        <w:rPr>
          <w:rFonts w:hint="eastAsia" w:ascii="Arial" w:hAnsi="Arial" w:cs="Arial"/>
          <w:color w:val="auto"/>
          <w:sz w:val="24"/>
          <w:highlight w:val="none"/>
          <w:u w:val="single"/>
          <w:lang w:val="en-US" w:eastAsia="zh-CN"/>
        </w:rPr>
        <w:t xml:space="preserve">                                    </w:t>
      </w:r>
      <w:r>
        <w:rPr>
          <w:rFonts w:ascii="Arial" w:hAnsi="Arial" w:cs="Arial"/>
          <w:color w:val="auto"/>
          <w:sz w:val="24"/>
          <w:highlight w:val="none"/>
          <w:u w:val="single"/>
        </w:rPr>
        <w:t xml:space="preserve"> </w:t>
      </w:r>
    </w:p>
    <w:p w14:paraId="639904F7">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根据《中华人民共和国民法典》及有关法律规定，遵循平等、自愿、公平和诚实信用的原则，双方就</w:t>
      </w:r>
      <w:r>
        <w:rPr>
          <w:rFonts w:hint="eastAsia" w:ascii="宋体" w:hAnsi="宋体"/>
          <w:color w:val="auto"/>
          <w:sz w:val="24"/>
          <w:highlight w:val="none"/>
          <w:u w:val="single"/>
        </w:rPr>
        <w:t>东港商务区202</w:t>
      </w:r>
      <w:r>
        <w:rPr>
          <w:rFonts w:hint="eastAsia" w:ascii="宋体" w:hAnsi="宋体"/>
          <w:color w:val="auto"/>
          <w:sz w:val="24"/>
          <w:highlight w:val="none"/>
          <w:u w:val="single"/>
          <w:lang w:val="en-US" w:eastAsia="zh-CN"/>
        </w:rPr>
        <w:t>5</w:t>
      </w:r>
      <w:r>
        <w:rPr>
          <w:rFonts w:hint="eastAsia" w:ascii="宋体" w:hAnsi="宋体"/>
          <w:color w:val="auto"/>
          <w:sz w:val="24"/>
          <w:highlight w:val="none"/>
          <w:u w:val="single"/>
        </w:rPr>
        <w:t>年灯光音乐喷泉运行维护项目</w:t>
      </w:r>
      <w:r>
        <w:rPr>
          <w:rFonts w:hint="eastAsia" w:ascii="宋体" w:hAnsi="宋体"/>
          <w:color w:val="auto"/>
          <w:sz w:val="24"/>
          <w:highlight w:val="none"/>
        </w:rPr>
        <w:t>及有关事项协商一致，甲乙双方同意签署本合同（以下简称合同）。</w:t>
      </w:r>
    </w:p>
    <w:p w14:paraId="31A3C927">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rPr>
        <w:t>一、合同范围</w:t>
      </w:r>
    </w:p>
    <w:p w14:paraId="7F4670CC">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default" w:ascii="宋体" w:hAnsi="宋体" w:eastAsia="宋体" w:cs="Times New Roman"/>
          <w:color w:val="auto"/>
          <w:sz w:val="24"/>
          <w:highlight w:val="none"/>
          <w:lang w:val="en-US"/>
        </w:rPr>
      </w:pPr>
      <w:r>
        <w:rPr>
          <w:rFonts w:hint="eastAsia" w:ascii="宋体" w:hAnsi="宋体" w:eastAsia="宋体" w:cs="Times New Roman"/>
          <w:color w:val="auto"/>
          <w:sz w:val="24"/>
          <w:highlight w:val="none"/>
          <w:lang w:val="en-US" w:eastAsia="zh-CN"/>
        </w:rPr>
        <w:t>对灯光音乐</w:t>
      </w:r>
      <w:r>
        <w:rPr>
          <w:rFonts w:hint="default" w:ascii="宋体" w:hAnsi="宋体" w:eastAsia="宋体" w:cs="Times New Roman"/>
          <w:color w:val="auto"/>
          <w:sz w:val="24"/>
          <w:highlight w:val="none"/>
          <w:lang w:eastAsia="zh-CN"/>
        </w:rPr>
        <w:t>喷泉</w:t>
      </w:r>
      <w:r>
        <w:rPr>
          <w:rFonts w:hint="eastAsia" w:ascii="宋体" w:hAnsi="宋体" w:eastAsia="宋体" w:cs="Times New Roman"/>
          <w:color w:val="auto"/>
          <w:sz w:val="24"/>
          <w:highlight w:val="none"/>
          <w:lang w:val="en-US" w:eastAsia="zh-CN"/>
        </w:rPr>
        <w:t>日常</w:t>
      </w:r>
      <w:r>
        <w:rPr>
          <w:rFonts w:hint="default" w:ascii="宋体" w:hAnsi="宋体" w:eastAsia="宋体" w:cs="Times New Roman"/>
          <w:color w:val="auto"/>
          <w:sz w:val="24"/>
          <w:highlight w:val="none"/>
          <w:lang w:eastAsia="zh-CN"/>
        </w:rPr>
        <w:t>的</w:t>
      </w:r>
      <w:r>
        <w:rPr>
          <w:rFonts w:hint="eastAsia" w:ascii="宋体" w:hAnsi="宋体" w:eastAsia="宋体" w:cs="Times New Roman"/>
          <w:color w:val="auto"/>
          <w:sz w:val="24"/>
          <w:highlight w:val="none"/>
          <w:lang w:val="en-US" w:eastAsia="zh-CN"/>
        </w:rPr>
        <w:t>喷放运行、喷泉设备设施巡检保养，及设备维修更换</w:t>
      </w:r>
      <w:r>
        <w:rPr>
          <w:rFonts w:hint="default" w:ascii="宋体" w:hAnsi="宋体" w:eastAsia="宋体" w:cs="Times New Roman"/>
          <w:color w:val="auto"/>
          <w:sz w:val="24"/>
          <w:highlight w:val="none"/>
          <w:lang w:eastAsia="zh-CN"/>
        </w:rPr>
        <w:t>等。（详见附件1）</w:t>
      </w:r>
      <w:r>
        <w:rPr>
          <w:rFonts w:hint="eastAsia" w:ascii="宋体" w:hAnsi="宋体" w:eastAsia="宋体" w:cs="Times New Roman"/>
          <w:color w:val="auto"/>
          <w:sz w:val="24"/>
          <w:highlight w:val="none"/>
          <w:lang w:eastAsia="zh-CN"/>
        </w:rPr>
        <w:t>。</w:t>
      </w:r>
    </w:p>
    <w:p w14:paraId="6A77946D">
      <w:pPr>
        <w:keepNext w:val="0"/>
        <w:keepLines w:val="0"/>
        <w:pageBreakBefore w:val="0"/>
        <w:widowControl w:val="0"/>
        <w:numPr>
          <w:ilvl w:val="0"/>
          <w:numId w:val="2"/>
        </w:numPr>
        <w:shd w:val="clear"/>
        <w:kinsoku/>
        <w:wordWrap/>
        <w:overflowPunct/>
        <w:topLinePunct w:val="0"/>
        <w:bidi w:val="0"/>
        <w:adjustRightInd w:val="0"/>
        <w:snapToGrid w:val="0"/>
        <w:spacing w:line="360" w:lineRule="auto"/>
        <w:ind w:left="0" w:leftChars="0" w:right="0" w:rightChars="0" w:firstLine="482" w:firstLineChars="200"/>
        <w:textAlignment w:val="auto"/>
        <w:rPr>
          <w:rFonts w:hint="eastAsia" w:ascii="宋体" w:hAnsi="宋体"/>
          <w:bCs/>
          <w:color w:val="auto"/>
          <w:sz w:val="24"/>
          <w:highlight w:val="none"/>
        </w:rPr>
      </w:pPr>
      <w:r>
        <w:rPr>
          <w:rFonts w:hint="eastAsia" w:ascii="宋体" w:hAnsi="宋体"/>
          <w:b/>
          <w:color w:val="auto"/>
          <w:sz w:val="24"/>
          <w:highlight w:val="none"/>
          <w:lang w:val="en-US" w:eastAsia="zh-CN"/>
        </w:rPr>
        <w:t>服务</w:t>
      </w:r>
      <w:r>
        <w:rPr>
          <w:rFonts w:hint="eastAsia" w:ascii="宋体" w:hAnsi="宋体"/>
          <w:b/>
          <w:color w:val="auto"/>
          <w:sz w:val="24"/>
          <w:highlight w:val="none"/>
        </w:rPr>
        <w:t>期限</w:t>
      </w:r>
      <w:r>
        <w:rPr>
          <w:rFonts w:hint="eastAsia" w:ascii="宋体" w:hAnsi="宋体"/>
          <w:b/>
          <w:color w:val="auto"/>
          <w:sz w:val="24"/>
          <w:highlight w:val="none"/>
          <w:lang w:val="en-US" w:eastAsia="zh-CN"/>
        </w:rPr>
        <w:t>及地点</w:t>
      </w:r>
      <w:r>
        <w:rPr>
          <w:rFonts w:hint="eastAsia" w:ascii="宋体" w:hAnsi="宋体"/>
          <w:b/>
          <w:color w:val="auto"/>
          <w:sz w:val="24"/>
          <w:highlight w:val="none"/>
        </w:rPr>
        <w:t>：</w:t>
      </w:r>
    </w:p>
    <w:p w14:paraId="367E813E">
      <w:pPr>
        <w:keepNext w:val="0"/>
        <w:keepLines w:val="0"/>
        <w:pageBreakBefore w:val="0"/>
        <w:widowControl w:val="0"/>
        <w:numPr>
          <w:ilvl w:val="0"/>
          <w:numId w:val="0"/>
        </w:numPr>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ascii="宋体" w:hAnsi="宋体"/>
          <w:bCs/>
          <w:color w:val="auto"/>
          <w:sz w:val="24"/>
          <w:highlight w:val="none"/>
        </w:rPr>
      </w:pPr>
      <w:r>
        <w:rPr>
          <w:rFonts w:hint="eastAsia" w:ascii="宋体" w:hAnsi="宋体" w:eastAsia="宋体" w:cs="Times New Roman"/>
          <w:b w:val="0"/>
          <w:color w:val="auto"/>
          <w:sz w:val="24"/>
          <w:highlight w:val="none"/>
          <w:lang w:val="en-US" w:eastAsia="zh-CN"/>
        </w:rPr>
        <w:t>1、服务期限：</w:t>
      </w:r>
      <w:r>
        <w:rPr>
          <w:rFonts w:hint="eastAsia" w:ascii="宋体" w:hAnsi="宋体"/>
          <w:color w:val="auto"/>
          <w:sz w:val="24"/>
          <w:highlight w:val="none"/>
        </w:rPr>
        <w:t>自合同签订</w:t>
      </w:r>
      <w:r>
        <w:rPr>
          <w:rFonts w:hint="eastAsia" w:ascii="宋体" w:hAnsi="宋体"/>
          <w:color w:val="auto"/>
          <w:sz w:val="24"/>
          <w:highlight w:val="none"/>
          <w:lang w:val="en-US" w:eastAsia="zh-CN"/>
        </w:rPr>
        <w:t>之日起</w:t>
      </w:r>
      <w:r>
        <w:rPr>
          <w:rFonts w:hint="eastAsia" w:ascii="宋体" w:hAnsi="宋体"/>
          <w:color w:val="auto"/>
          <w:sz w:val="24"/>
          <w:highlight w:val="none"/>
        </w:rPr>
        <w:t>一年</w:t>
      </w:r>
      <w:r>
        <w:rPr>
          <w:rFonts w:hint="eastAsia" w:ascii="宋体" w:hAnsi="宋体"/>
          <w:bCs/>
          <w:color w:val="auto"/>
          <w:sz w:val="24"/>
          <w:highlight w:val="none"/>
        </w:rPr>
        <w:t>。</w:t>
      </w:r>
    </w:p>
    <w:p w14:paraId="35418933">
      <w:pPr>
        <w:pStyle w:val="2"/>
        <w:keepNext w:val="0"/>
        <w:keepLines w:val="0"/>
        <w:pageBreakBefore w:val="0"/>
        <w:widowControl/>
        <w:numPr>
          <w:ilvl w:val="0"/>
          <w:numId w:val="0"/>
        </w:numPr>
        <w:shd w:val="clear"/>
        <w:kinsoku/>
        <w:wordWrap/>
        <w:overflowPunct/>
        <w:topLinePunct w:val="0"/>
        <w:autoSpaceDE w:val="0"/>
        <w:autoSpaceDN/>
        <w:bidi w:val="0"/>
        <w:adjustRightInd w:val="0"/>
        <w:snapToGrid w:val="0"/>
        <w:spacing w:line="360" w:lineRule="auto"/>
        <w:ind w:left="0" w:leftChars="0" w:right="0" w:rightChars="0" w:firstLine="480" w:firstLineChars="200"/>
        <w:textAlignment w:val="baseline"/>
        <w:rPr>
          <w:rFonts w:hint="default" w:ascii="宋体" w:hAnsi="宋体" w:eastAsia="宋体" w:cs="Times New Roman"/>
          <w:color w:val="auto"/>
          <w:kern w:val="2"/>
          <w:sz w:val="24"/>
          <w:szCs w:val="24"/>
          <w:highlight w:val="none"/>
          <w:lang w:val="en-US" w:eastAsia="zh-CN" w:bidi="ar-SA"/>
        </w:rPr>
      </w:pPr>
      <w:r>
        <w:rPr>
          <w:rFonts w:hint="default" w:ascii="宋体" w:hAnsi="宋体" w:eastAsia="宋体" w:cs="Times New Roman"/>
          <w:color w:val="auto"/>
          <w:kern w:val="2"/>
          <w:sz w:val="24"/>
          <w:szCs w:val="24"/>
          <w:highlight w:val="none"/>
          <w:lang w:val="en-US" w:eastAsia="zh-CN" w:bidi="ar-SA"/>
        </w:rPr>
        <w:t>注：</w:t>
      </w:r>
      <w:r>
        <w:rPr>
          <w:rFonts w:hint="eastAsia" w:ascii="宋体" w:hAnsi="宋体" w:eastAsia="宋体" w:cs="Times New Roman"/>
          <w:color w:val="auto"/>
          <w:kern w:val="2"/>
          <w:sz w:val="24"/>
          <w:szCs w:val="24"/>
          <w:highlight w:val="none"/>
          <w:lang w:val="en-US" w:eastAsia="zh-CN" w:bidi="ar-SA"/>
        </w:rPr>
        <w:t>合同期</w:t>
      </w:r>
      <w:r>
        <w:rPr>
          <w:rFonts w:hint="default" w:ascii="宋体" w:hAnsi="宋体" w:eastAsia="宋体" w:cs="Times New Roman"/>
          <w:color w:val="auto"/>
          <w:kern w:val="2"/>
          <w:sz w:val="24"/>
          <w:szCs w:val="24"/>
          <w:highlight w:val="none"/>
          <w:lang w:val="en-US" w:eastAsia="zh-CN" w:bidi="ar-SA"/>
        </w:rPr>
        <w:t>满后，在双方对本项目的服务内容、要求及资金来源未作变更且经双方协商一致的情况下，可依据本次招标结果所签订的合同顺延一年，且最多可续签两年。如</w:t>
      </w:r>
      <w:r>
        <w:rPr>
          <w:rFonts w:hint="eastAsia" w:ascii="宋体" w:hAnsi="宋体" w:eastAsia="宋体" w:cs="Times New Roman"/>
          <w:color w:val="auto"/>
          <w:kern w:val="2"/>
          <w:sz w:val="24"/>
          <w:szCs w:val="24"/>
          <w:highlight w:val="none"/>
          <w:lang w:val="en-US" w:eastAsia="zh-CN" w:bidi="ar-SA"/>
        </w:rPr>
        <w:t>甲方</w:t>
      </w:r>
      <w:r>
        <w:rPr>
          <w:rFonts w:hint="default" w:ascii="宋体" w:hAnsi="宋体" w:eastAsia="宋体" w:cs="Times New Roman"/>
          <w:color w:val="auto"/>
          <w:kern w:val="2"/>
          <w:sz w:val="24"/>
          <w:szCs w:val="24"/>
          <w:highlight w:val="none"/>
          <w:lang w:val="en-US" w:eastAsia="zh-CN" w:bidi="ar-SA"/>
        </w:rPr>
        <w:t>所属集团下达与本项目采购内容相同的统管供应商名册，则本项目的服务期限自该名册发布之日起停止，</w:t>
      </w:r>
      <w:r>
        <w:rPr>
          <w:rFonts w:hint="eastAsia" w:ascii="宋体" w:hAnsi="宋体" w:eastAsia="宋体" w:cs="Times New Roman"/>
          <w:color w:val="auto"/>
          <w:kern w:val="2"/>
          <w:sz w:val="24"/>
          <w:szCs w:val="24"/>
          <w:highlight w:val="none"/>
          <w:lang w:val="en-US" w:eastAsia="zh-CN" w:bidi="ar-SA"/>
        </w:rPr>
        <w:t>甲方</w:t>
      </w:r>
      <w:r>
        <w:rPr>
          <w:rFonts w:hint="default" w:ascii="宋体" w:hAnsi="宋体" w:eastAsia="宋体" w:cs="Times New Roman"/>
          <w:color w:val="auto"/>
          <w:kern w:val="2"/>
          <w:sz w:val="24"/>
          <w:szCs w:val="24"/>
          <w:highlight w:val="none"/>
          <w:lang w:val="en-US" w:eastAsia="zh-CN" w:bidi="ar-SA"/>
        </w:rPr>
        <w:t>无需承担任何责任。</w:t>
      </w:r>
    </w:p>
    <w:p w14:paraId="689DC5B8">
      <w:pPr>
        <w:keepNext w:val="0"/>
        <w:keepLines w:val="0"/>
        <w:pageBreakBefore w:val="0"/>
        <w:shd w:val="clear"/>
        <w:kinsoku/>
        <w:wordWrap/>
        <w:overflowPunct/>
        <w:topLinePunct w:val="0"/>
        <w:bidi w:val="0"/>
        <w:adjustRightInd w:val="0"/>
        <w:snapToGrid w:val="0"/>
        <w:spacing w:line="360" w:lineRule="auto"/>
        <w:ind w:left="0" w:leftChars="0" w:right="0" w:rightChars="0" w:firstLine="480" w:firstLineChars="200"/>
        <w:rPr>
          <w:rFonts w:hint="default"/>
          <w:color w:val="auto"/>
          <w:highlight w:val="none"/>
          <w:lang w:val="en-US" w:eastAsia="zh-CN"/>
        </w:rPr>
      </w:pPr>
      <w:r>
        <w:rPr>
          <w:rFonts w:hint="eastAsia" w:ascii="宋体" w:hAnsi="宋体" w:eastAsia="宋体" w:cs="Times New Roman"/>
          <w:color w:val="auto"/>
          <w:kern w:val="2"/>
          <w:sz w:val="24"/>
          <w:szCs w:val="24"/>
          <w:highlight w:val="none"/>
          <w:lang w:val="en-US" w:eastAsia="zh-CN" w:bidi="ar-SA"/>
        </w:rPr>
        <w:t>2、服务地点：东港商务区音乐喷泉</w:t>
      </w:r>
      <w:r>
        <w:rPr>
          <w:rFonts w:hint="eastAsia" w:ascii="宋体" w:hAnsi="宋体" w:cs="Times New Roman"/>
          <w:color w:val="auto"/>
          <w:kern w:val="2"/>
          <w:sz w:val="24"/>
          <w:szCs w:val="24"/>
          <w:highlight w:val="none"/>
          <w:lang w:val="en-US" w:eastAsia="zh-CN" w:bidi="ar-SA"/>
        </w:rPr>
        <w:t>，具体以甲方指定为准</w:t>
      </w:r>
      <w:r>
        <w:rPr>
          <w:rFonts w:hint="eastAsia" w:ascii="宋体" w:hAnsi="宋体" w:eastAsia="宋体" w:cs="Times New Roman"/>
          <w:color w:val="auto"/>
          <w:kern w:val="2"/>
          <w:sz w:val="24"/>
          <w:szCs w:val="24"/>
          <w:highlight w:val="none"/>
          <w:lang w:val="en-US" w:eastAsia="zh-CN" w:bidi="ar-SA"/>
        </w:rPr>
        <w:t>。</w:t>
      </w:r>
    </w:p>
    <w:p w14:paraId="0513FE88">
      <w:pPr>
        <w:keepNext w:val="0"/>
        <w:keepLines w:val="0"/>
        <w:pageBreakBefore w:val="0"/>
        <w:widowControl/>
        <w:numPr>
          <w:ilvl w:val="0"/>
          <w:numId w:val="2"/>
        </w:numPr>
        <w:shd w:val="clear"/>
        <w:kinsoku/>
        <w:wordWrap/>
        <w:overflowPunct/>
        <w:topLinePunct w:val="0"/>
        <w:autoSpaceDE w:val="0"/>
        <w:autoSpaceDN/>
        <w:bidi w:val="0"/>
        <w:adjustRightInd w:val="0"/>
        <w:snapToGrid w:val="0"/>
        <w:spacing w:line="360" w:lineRule="auto"/>
        <w:ind w:left="0" w:leftChars="0" w:right="0" w:rightChars="0" w:firstLine="482" w:firstLineChars="200"/>
        <w:textAlignment w:val="baseline"/>
        <w:rPr>
          <w:rFonts w:hint="default" w:ascii="宋体" w:hAnsi="宋体" w:eastAsia="宋体" w:cs="Times New Roman"/>
          <w:color w:val="auto"/>
          <w:kern w:val="2"/>
          <w:sz w:val="24"/>
          <w:szCs w:val="24"/>
          <w:highlight w:val="none"/>
          <w:lang w:val="en-US" w:eastAsia="zh-CN" w:bidi="ar-SA"/>
        </w:rPr>
      </w:pPr>
      <w:r>
        <w:rPr>
          <w:rFonts w:hint="eastAsia" w:ascii="宋体" w:hAnsi="宋体" w:cs="宋体"/>
          <w:b/>
          <w:color w:val="auto"/>
          <w:kern w:val="0"/>
          <w:sz w:val="24"/>
          <w:highlight w:val="none"/>
        </w:rPr>
        <w:t>付款方式：</w:t>
      </w:r>
    </w:p>
    <w:p w14:paraId="134515EA">
      <w:pPr>
        <w:keepNext w:val="0"/>
        <w:keepLines w:val="0"/>
        <w:pageBreakBefore w:val="0"/>
        <w:widowControl/>
        <w:numPr>
          <w:ilvl w:val="0"/>
          <w:numId w:val="0"/>
        </w:numPr>
        <w:shd w:val="clear"/>
        <w:kinsoku/>
        <w:wordWrap/>
        <w:overflowPunct/>
        <w:topLinePunct w:val="0"/>
        <w:autoSpaceDE w:val="0"/>
        <w:autoSpaceDN/>
        <w:bidi w:val="0"/>
        <w:adjustRightInd w:val="0"/>
        <w:snapToGrid w:val="0"/>
        <w:spacing w:line="360" w:lineRule="auto"/>
        <w:ind w:left="0" w:leftChars="0" w:right="0" w:rightChars="0" w:firstLine="480" w:firstLineChars="200"/>
        <w:textAlignment w:val="baseline"/>
        <w:rPr>
          <w:rFonts w:hint="default"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1、运行巡检部分：合同签署且乙方提交履约保证金并开始服务后，</w:t>
      </w:r>
      <w:r>
        <w:rPr>
          <w:rFonts w:hint="default" w:ascii="宋体" w:hAnsi="宋体" w:eastAsia="宋体" w:cs="Times New Roman"/>
          <w:color w:val="auto"/>
          <w:kern w:val="2"/>
          <w:sz w:val="24"/>
          <w:szCs w:val="24"/>
          <w:highlight w:val="none"/>
          <w:lang w:val="en-US" w:eastAsia="zh-CN" w:bidi="ar-SA"/>
        </w:rPr>
        <w:t>完成第一个三个月维护工作，</w:t>
      </w:r>
      <w:r>
        <w:rPr>
          <w:rFonts w:hint="eastAsia" w:ascii="宋体" w:hAnsi="宋体" w:cs="Times New Roman"/>
          <w:color w:val="auto"/>
          <w:kern w:val="2"/>
          <w:sz w:val="24"/>
          <w:szCs w:val="24"/>
          <w:highlight w:val="none"/>
          <w:lang w:val="en-US" w:eastAsia="zh-CN" w:bidi="ar-SA"/>
        </w:rPr>
        <w:t>经甲方验收合格后，</w:t>
      </w:r>
      <w:r>
        <w:rPr>
          <w:rFonts w:hint="default" w:ascii="宋体" w:hAnsi="宋体" w:eastAsia="宋体" w:cs="Times New Roman"/>
          <w:color w:val="auto"/>
          <w:kern w:val="2"/>
          <w:sz w:val="24"/>
          <w:szCs w:val="24"/>
          <w:highlight w:val="none"/>
          <w:lang w:val="en-US" w:eastAsia="zh-CN" w:bidi="ar-SA"/>
        </w:rPr>
        <w:t>支付</w:t>
      </w:r>
      <w:r>
        <w:rPr>
          <w:rFonts w:hint="eastAsia" w:ascii="宋体" w:hAnsi="宋体" w:eastAsia="宋体" w:cs="Times New Roman"/>
          <w:color w:val="auto"/>
          <w:kern w:val="2"/>
          <w:sz w:val="24"/>
          <w:szCs w:val="24"/>
          <w:highlight w:val="none"/>
          <w:lang w:val="en-US" w:eastAsia="zh-CN" w:bidi="ar-SA"/>
        </w:rPr>
        <w:t>运行巡检部分固定</w:t>
      </w:r>
      <w:r>
        <w:rPr>
          <w:rFonts w:hint="default" w:ascii="宋体" w:hAnsi="宋体" w:eastAsia="宋体" w:cs="Times New Roman"/>
          <w:color w:val="auto"/>
          <w:kern w:val="2"/>
          <w:sz w:val="24"/>
          <w:szCs w:val="24"/>
          <w:highlight w:val="none"/>
          <w:lang w:val="en-US" w:eastAsia="zh-CN" w:bidi="ar-SA"/>
        </w:rPr>
        <w:t>总价</w:t>
      </w:r>
      <w:r>
        <w:rPr>
          <w:rFonts w:hint="eastAsia" w:ascii="宋体" w:hAnsi="宋体" w:eastAsia="宋体" w:cs="Times New Roman"/>
          <w:color w:val="auto"/>
          <w:kern w:val="2"/>
          <w:sz w:val="24"/>
          <w:szCs w:val="24"/>
          <w:highlight w:val="none"/>
          <w:lang w:val="en-US" w:eastAsia="zh-CN" w:bidi="ar-SA"/>
        </w:rPr>
        <w:t>的</w:t>
      </w:r>
      <w:r>
        <w:rPr>
          <w:rFonts w:hint="default" w:ascii="宋体" w:hAnsi="宋体" w:eastAsia="宋体" w:cs="Times New Roman"/>
          <w:color w:val="auto"/>
          <w:kern w:val="2"/>
          <w:sz w:val="24"/>
          <w:szCs w:val="24"/>
          <w:highlight w:val="none"/>
          <w:lang w:val="en-US" w:eastAsia="zh-CN" w:bidi="ar-SA"/>
        </w:rPr>
        <w:t>30%；完成第二个三个月维护工作，</w:t>
      </w:r>
      <w:r>
        <w:rPr>
          <w:rFonts w:hint="eastAsia" w:ascii="宋体" w:hAnsi="宋体" w:cs="Times New Roman"/>
          <w:color w:val="auto"/>
          <w:kern w:val="2"/>
          <w:sz w:val="24"/>
          <w:szCs w:val="24"/>
          <w:highlight w:val="none"/>
          <w:lang w:val="en-US" w:eastAsia="zh-CN" w:bidi="ar-SA"/>
        </w:rPr>
        <w:t>经甲方验收合格后，</w:t>
      </w:r>
      <w:r>
        <w:rPr>
          <w:rFonts w:hint="default" w:ascii="宋体" w:hAnsi="宋体" w:eastAsia="宋体" w:cs="Times New Roman"/>
          <w:color w:val="auto"/>
          <w:kern w:val="2"/>
          <w:sz w:val="24"/>
          <w:szCs w:val="24"/>
          <w:highlight w:val="none"/>
          <w:lang w:val="en-US" w:eastAsia="zh-CN" w:bidi="ar-SA"/>
        </w:rPr>
        <w:t>支付运行巡检部分固定总价</w:t>
      </w:r>
      <w:r>
        <w:rPr>
          <w:rFonts w:hint="eastAsia" w:ascii="宋体" w:hAnsi="宋体" w:eastAsia="宋体" w:cs="Times New Roman"/>
          <w:color w:val="auto"/>
          <w:kern w:val="2"/>
          <w:sz w:val="24"/>
          <w:szCs w:val="24"/>
          <w:highlight w:val="none"/>
          <w:lang w:val="en-US" w:eastAsia="zh-CN" w:bidi="ar-SA"/>
        </w:rPr>
        <w:t>的</w:t>
      </w:r>
      <w:r>
        <w:rPr>
          <w:rFonts w:hint="default" w:ascii="宋体" w:hAnsi="宋体" w:eastAsia="宋体" w:cs="Times New Roman"/>
          <w:color w:val="auto"/>
          <w:kern w:val="2"/>
          <w:sz w:val="24"/>
          <w:szCs w:val="24"/>
          <w:highlight w:val="none"/>
          <w:lang w:val="en-US" w:eastAsia="zh-CN" w:bidi="ar-SA"/>
        </w:rPr>
        <w:t>20%；完成第三个三个月维护工作，</w:t>
      </w:r>
      <w:r>
        <w:rPr>
          <w:rFonts w:hint="eastAsia" w:ascii="宋体" w:hAnsi="宋体" w:cs="Times New Roman"/>
          <w:color w:val="auto"/>
          <w:kern w:val="2"/>
          <w:sz w:val="24"/>
          <w:szCs w:val="24"/>
          <w:highlight w:val="none"/>
          <w:lang w:val="en-US" w:eastAsia="zh-CN" w:bidi="ar-SA"/>
        </w:rPr>
        <w:t>经甲方验收合格后，</w:t>
      </w:r>
      <w:r>
        <w:rPr>
          <w:rFonts w:hint="default" w:ascii="宋体" w:hAnsi="宋体" w:eastAsia="宋体" w:cs="Times New Roman"/>
          <w:color w:val="auto"/>
          <w:kern w:val="2"/>
          <w:sz w:val="24"/>
          <w:szCs w:val="24"/>
          <w:highlight w:val="none"/>
          <w:lang w:val="en-US" w:eastAsia="zh-CN" w:bidi="ar-SA"/>
        </w:rPr>
        <w:t>支付运行巡检部分固定总价</w:t>
      </w:r>
      <w:r>
        <w:rPr>
          <w:rFonts w:hint="eastAsia" w:ascii="宋体" w:hAnsi="宋体" w:eastAsia="宋体" w:cs="Times New Roman"/>
          <w:color w:val="auto"/>
          <w:kern w:val="2"/>
          <w:sz w:val="24"/>
          <w:szCs w:val="24"/>
          <w:highlight w:val="none"/>
          <w:lang w:val="en-US" w:eastAsia="zh-CN" w:bidi="ar-SA"/>
        </w:rPr>
        <w:t>的</w:t>
      </w:r>
      <w:r>
        <w:rPr>
          <w:rFonts w:hint="default" w:ascii="宋体" w:hAnsi="宋体" w:eastAsia="宋体" w:cs="Times New Roman"/>
          <w:color w:val="auto"/>
          <w:kern w:val="2"/>
          <w:sz w:val="24"/>
          <w:szCs w:val="24"/>
          <w:highlight w:val="none"/>
          <w:lang w:val="en-US" w:eastAsia="zh-CN" w:bidi="ar-SA"/>
        </w:rPr>
        <w:t>20%。余款待</w:t>
      </w:r>
      <w:r>
        <w:rPr>
          <w:rFonts w:hint="eastAsia" w:ascii="宋体" w:hAnsi="宋体" w:eastAsia="宋体" w:cs="Times New Roman"/>
          <w:color w:val="auto"/>
          <w:kern w:val="2"/>
          <w:sz w:val="24"/>
          <w:szCs w:val="24"/>
          <w:highlight w:val="none"/>
          <w:lang w:val="en-US" w:eastAsia="zh-CN" w:bidi="ar-SA"/>
        </w:rPr>
        <w:t>服务</w:t>
      </w:r>
      <w:r>
        <w:rPr>
          <w:rFonts w:hint="default" w:ascii="宋体" w:hAnsi="宋体" w:eastAsia="宋体" w:cs="Times New Roman"/>
          <w:color w:val="auto"/>
          <w:kern w:val="2"/>
          <w:sz w:val="24"/>
          <w:szCs w:val="24"/>
          <w:highlight w:val="none"/>
          <w:lang w:val="en-US" w:eastAsia="zh-CN" w:bidi="ar-SA"/>
        </w:rPr>
        <w:t>期满</w:t>
      </w:r>
      <w:r>
        <w:rPr>
          <w:rFonts w:hint="eastAsia" w:ascii="宋体" w:hAnsi="宋体" w:cs="Times New Roman"/>
          <w:color w:val="auto"/>
          <w:kern w:val="2"/>
          <w:sz w:val="24"/>
          <w:szCs w:val="24"/>
          <w:highlight w:val="none"/>
          <w:lang w:val="en-US" w:eastAsia="zh-CN" w:bidi="ar-SA"/>
        </w:rPr>
        <w:t>，经甲方验收合格</w:t>
      </w:r>
      <w:r>
        <w:rPr>
          <w:rFonts w:hint="default" w:ascii="宋体" w:hAnsi="宋体" w:eastAsia="宋体" w:cs="Times New Roman"/>
          <w:color w:val="auto"/>
          <w:kern w:val="2"/>
          <w:sz w:val="24"/>
          <w:szCs w:val="24"/>
          <w:highlight w:val="none"/>
          <w:lang w:val="en-US" w:eastAsia="zh-CN" w:bidi="ar-SA"/>
        </w:rPr>
        <w:t>后，扣除喷泉表演期内产生的考核扣款（每0.1分扣500元）</w:t>
      </w:r>
      <w:r>
        <w:rPr>
          <w:rFonts w:hint="eastAsia" w:ascii="宋体" w:hAnsi="宋体" w:eastAsia="宋体" w:cs="Times New Roman"/>
          <w:color w:val="auto"/>
          <w:kern w:val="2"/>
          <w:sz w:val="24"/>
          <w:szCs w:val="24"/>
          <w:highlight w:val="none"/>
          <w:lang w:val="en-US" w:eastAsia="zh-CN" w:bidi="ar-SA"/>
        </w:rPr>
        <w:t>后，一次性付清运行巡检部分固定总价余款部分。考核细则详见附件3</w:t>
      </w:r>
      <w:r>
        <w:rPr>
          <w:rFonts w:hint="default" w:ascii="宋体" w:hAnsi="宋体" w:eastAsia="宋体" w:cs="Times New Roman"/>
          <w:color w:val="auto"/>
          <w:kern w:val="2"/>
          <w:sz w:val="24"/>
          <w:szCs w:val="24"/>
          <w:highlight w:val="none"/>
          <w:lang w:val="en-US" w:eastAsia="zh-CN" w:bidi="ar-SA"/>
        </w:rPr>
        <w:t>。</w:t>
      </w:r>
    </w:p>
    <w:p w14:paraId="44ADA433">
      <w:pPr>
        <w:pStyle w:val="2"/>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宋体"/>
          <w:bCs/>
          <w:color w:val="auto"/>
          <w:kern w:val="0"/>
          <w:sz w:val="32"/>
          <w:szCs w:val="32"/>
          <w:highlight w:val="none"/>
          <w:lang w:val="en-US" w:eastAsia="zh-CN"/>
        </w:rPr>
      </w:pPr>
      <w:r>
        <w:rPr>
          <w:rFonts w:hint="eastAsia" w:ascii="宋体" w:hAnsi="宋体" w:eastAsia="宋体" w:cs="Times New Roman"/>
          <w:color w:val="auto"/>
          <w:kern w:val="2"/>
          <w:sz w:val="24"/>
          <w:szCs w:val="24"/>
          <w:highlight w:val="none"/>
          <w:lang w:val="en-US" w:eastAsia="zh-CN" w:bidi="ar-SA"/>
        </w:rPr>
        <w:t>2、设备的维修更换部分：年度合同结束后，乙方向甲方提交维修更换设备清单，经双方确认签字后，按甲方</w:t>
      </w:r>
      <w:r>
        <w:rPr>
          <w:rFonts w:hint="eastAsia" w:cs="Times New Roman"/>
          <w:color w:val="auto"/>
          <w:kern w:val="2"/>
          <w:sz w:val="24"/>
          <w:szCs w:val="24"/>
          <w:highlight w:val="none"/>
          <w:lang w:val="en-US" w:eastAsia="zh-CN" w:bidi="ar-SA"/>
        </w:rPr>
        <w:t>验收合格的</w:t>
      </w:r>
      <w:r>
        <w:rPr>
          <w:rFonts w:hint="eastAsia" w:ascii="宋体" w:hAnsi="宋体" w:eastAsia="宋体" w:cs="Times New Roman"/>
          <w:color w:val="auto"/>
          <w:kern w:val="2"/>
          <w:sz w:val="24"/>
          <w:szCs w:val="24"/>
          <w:highlight w:val="none"/>
          <w:lang w:val="en-US" w:eastAsia="zh-CN" w:bidi="ar-SA"/>
        </w:rPr>
        <w:t>确认的实际使用数量，依据合同单价一次性据实支付专用费用。结算值以</w:t>
      </w:r>
      <w:r>
        <w:rPr>
          <w:rFonts w:hint="eastAsia" w:cs="Times New Roman"/>
          <w:color w:val="auto"/>
          <w:kern w:val="2"/>
          <w:sz w:val="24"/>
          <w:szCs w:val="24"/>
          <w:highlight w:val="none"/>
          <w:lang w:val="en-US" w:eastAsia="zh-CN" w:bidi="ar-SA"/>
        </w:rPr>
        <w:t>经甲方审核确认的</w:t>
      </w:r>
      <w:r>
        <w:rPr>
          <w:rFonts w:hint="eastAsia" w:ascii="宋体" w:hAnsi="宋体" w:eastAsia="宋体" w:cs="Times New Roman"/>
          <w:color w:val="auto"/>
          <w:kern w:val="2"/>
          <w:sz w:val="24"/>
          <w:szCs w:val="24"/>
          <w:highlight w:val="none"/>
          <w:lang w:val="en-US" w:eastAsia="zh-CN" w:bidi="ar-SA"/>
        </w:rPr>
        <w:t>第三方造价机构审核为准。</w:t>
      </w:r>
    </w:p>
    <w:p w14:paraId="49C9469B">
      <w:pPr>
        <w:pStyle w:val="2"/>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注：甲方每次付款前，乙方应向甲方提交与付款金额一致的增值税专用发票，否则</w:t>
      </w:r>
      <w:r>
        <w:rPr>
          <w:rFonts w:hint="eastAsia" w:cs="Times New Roman"/>
          <w:color w:val="auto"/>
          <w:kern w:val="2"/>
          <w:sz w:val="24"/>
          <w:szCs w:val="24"/>
          <w:highlight w:val="none"/>
          <w:lang w:val="en-US" w:eastAsia="zh-CN" w:bidi="ar-SA"/>
        </w:rPr>
        <w:t>甲方</w:t>
      </w:r>
      <w:r>
        <w:rPr>
          <w:rFonts w:hint="eastAsia" w:ascii="宋体" w:hAnsi="宋体" w:eastAsia="宋体" w:cs="Times New Roman"/>
          <w:color w:val="auto"/>
          <w:kern w:val="2"/>
          <w:sz w:val="24"/>
          <w:szCs w:val="24"/>
          <w:highlight w:val="none"/>
          <w:lang w:val="en-US" w:eastAsia="zh-CN" w:bidi="ar-SA"/>
        </w:rPr>
        <w:t>有权拒绝付款且不不承担任何责任，</w:t>
      </w:r>
      <w:r>
        <w:rPr>
          <w:rFonts w:hint="eastAsia" w:cs="Times New Roman"/>
          <w:color w:val="auto"/>
          <w:kern w:val="2"/>
          <w:sz w:val="24"/>
          <w:szCs w:val="24"/>
          <w:highlight w:val="none"/>
          <w:lang w:val="en-US" w:eastAsia="zh-CN" w:bidi="ar-SA"/>
        </w:rPr>
        <w:t>乙方</w:t>
      </w:r>
      <w:r>
        <w:rPr>
          <w:rFonts w:hint="eastAsia" w:ascii="宋体" w:hAnsi="宋体" w:eastAsia="宋体" w:cs="Times New Roman"/>
          <w:color w:val="auto"/>
          <w:kern w:val="2"/>
          <w:sz w:val="24"/>
          <w:szCs w:val="24"/>
          <w:highlight w:val="none"/>
          <w:lang w:val="en-US" w:eastAsia="zh-CN" w:bidi="ar-SA"/>
        </w:rPr>
        <w:t>不得因此拒绝履行合同项下任何义务。</w:t>
      </w:r>
    </w:p>
    <w:p w14:paraId="5A65E90F">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rPr>
        <w:t>四、合同</w:t>
      </w:r>
      <w:r>
        <w:rPr>
          <w:rFonts w:hint="eastAsia" w:ascii="宋体" w:hAnsi="宋体"/>
          <w:b/>
          <w:color w:val="auto"/>
          <w:sz w:val="24"/>
          <w:highlight w:val="none"/>
          <w:lang w:val="en-US" w:eastAsia="zh-CN"/>
        </w:rPr>
        <w:t>形式及</w:t>
      </w:r>
      <w:r>
        <w:rPr>
          <w:rFonts w:hint="eastAsia" w:ascii="宋体" w:hAnsi="宋体"/>
          <w:b/>
          <w:color w:val="auto"/>
          <w:sz w:val="24"/>
          <w:highlight w:val="none"/>
        </w:rPr>
        <w:t>金额</w:t>
      </w:r>
    </w:p>
    <w:p w14:paraId="07F71283">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default" w:ascii="宋体" w:hAnsi="宋体" w:eastAsia="宋体" w:cs="Times New Roman"/>
          <w:color w:val="auto"/>
          <w:spacing w:val="0"/>
          <w:sz w:val="24"/>
          <w:szCs w:val="24"/>
          <w:highlight w:val="none"/>
          <w:lang w:eastAsia="zh-CN"/>
        </w:rPr>
      </w:pPr>
      <w:r>
        <w:rPr>
          <w:rFonts w:hint="default" w:ascii="宋体" w:hAnsi="宋体" w:eastAsia="宋体" w:cs="Times New Roman"/>
          <w:b w:val="0"/>
          <w:bCs w:val="0"/>
          <w:color w:val="auto"/>
          <w:sz w:val="24"/>
          <w:szCs w:val="24"/>
          <w:highlight w:val="none"/>
          <w:lang w:val="en-US" w:eastAsia="zh-CN"/>
        </w:rPr>
        <w:t>合同形式：</w:t>
      </w:r>
      <w:r>
        <w:rPr>
          <w:rFonts w:hint="default" w:ascii="宋体" w:hAnsi="宋体" w:eastAsia="宋体" w:cs="Times New Roman"/>
          <w:b w:val="0"/>
          <w:bCs w:val="0"/>
          <w:color w:val="auto"/>
          <w:spacing w:val="0"/>
          <w:sz w:val="24"/>
          <w:szCs w:val="24"/>
          <w:highlight w:val="none"/>
          <w:lang w:val="en-US" w:eastAsia="zh-CN"/>
        </w:rPr>
        <w:t>对灯光音乐</w:t>
      </w:r>
      <w:r>
        <w:rPr>
          <w:rFonts w:hint="default" w:ascii="宋体" w:hAnsi="宋体" w:eastAsia="宋体" w:cs="Times New Roman"/>
          <w:b w:val="0"/>
          <w:bCs w:val="0"/>
          <w:color w:val="auto"/>
          <w:spacing w:val="0"/>
          <w:sz w:val="24"/>
          <w:szCs w:val="24"/>
          <w:highlight w:val="none"/>
          <w:lang w:eastAsia="zh-CN"/>
        </w:rPr>
        <w:t>喷泉</w:t>
      </w:r>
      <w:r>
        <w:rPr>
          <w:rFonts w:hint="default" w:ascii="宋体" w:hAnsi="宋体" w:eastAsia="宋体" w:cs="Times New Roman"/>
          <w:b w:val="0"/>
          <w:bCs w:val="0"/>
          <w:color w:val="auto"/>
          <w:spacing w:val="0"/>
          <w:sz w:val="24"/>
          <w:szCs w:val="24"/>
          <w:highlight w:val="none"/>
          <w:lang w:val="en-US" w:eastAsia="zh-CN"/>
        </w:rPr>
        <w:t>日常</w:t>
      </w:r>
      <w:r>
        <w:rPr>
          <w:rFonts w:hint="default" w:ascii="宋体" w:hAnsi="宋体" w:eastAsia="宋体" w:cs="Times New Roman"/>
          <w:b w:val="0"/>
          <w:bCs w:val="0"/>
          <w:color w:val="auto"/>
          <w:spacing w:val="0"/>
          <w:sz w:val="24"/>
          <w:szCs w:val="24"/>
          <w:highlight w:val="none"/>
          <w:lang w:eastAsia="zh-CN"/>
        </w:rPr>
        <w:t>的</w:t>
      </w:r>
      <w:r>
        <w:rPr>
          <w:rFonts w:hint="default" w:ascii="宋体" w:hAnsi="宋体" w:eastAsia="宋体" w:cs="Times New Roman"/>
          <w:b w:val="0"/>
          <w:bCs w:val="0"/>
          <w:color w:val="auto"/>
          <w:spacing w:val="0"/>
          <w:sz w:val="24"/>
          <w:szCs w:val="24"/>
          <w:highlight w:val="none"/>
          <w:lang w:val="en-US" w:eastAsia="zh-CN"/>
        </w:rPr>
        <w:t>喷放运行、喷泉设备设施巡检保养部分采用固定总价合同；</w:t>
      </w:r>
      <w:r>
        <w:rPr>
          <w:rFonts w:hint="default" w:ascii="宋体" w:hAnsi="宋体" w:eastAsia="宋体" w:cs="Times New Roman"/>
          <w:color w:val="auto"/>
          <w:spacing w:val="0"/>
          <w:sz w:val="24"/>
          <w:szCs w:val="24"/>
          <w:highlight w:val="none"/>
          <w:lang w:val="en-US" w:eastAsia="zh-CN"/>
        </w:rPr>
        <w:t>设备的维修更换</w:t>
      </w:r>
      <w:r>
        <w:rPr>
          <w:rFonts w:hint="default" w:ascii="宋体" w:hAnsi="宋体" w:eastAsia="宋体" w:cs="Times New Roman"/>
          <w:color w:val="auto"/>
          <w:spacing w:val="0"/>
          <w:sz w:val="24"/>
          <w:szCs w:val="24"/>
          <w:highlight w:val="none"/>
          <w:lang w:eastAsia="zh-CN"/>
        </w:rPr>
        <w:t>部分采用</w:t>
      </w:r>
      <w:r>
        <w:rPr>
          <w:rFonts w:hint="default" w:ascii="宋体" w:hAnsi="宋体" w:eastAsia="宋体" w:cs="Times New Roman"/>
          <w:color w:val="auto"/>
          <w:spacing w:val="0"/>
          <w:sz w:val="24"/>
          <w:szCs w:val="24"/>
          <w:highlight w:val="none"/>
          <w:lang w:val="en-US" w:eastAsia="zh-CN"/>
        </w:rPr>
        <w:t>固定</w:t>
      </w:r>
      <w:r>
        <w:rPr>
          <w:rFonts w:hint="default" w:ascii="宋体" w:hAnsi="宋体" w:eastAsia="宋体" w:cs="Times New Roman"/>
          <w:color w:val="auto"/>
          <w:spacing w:val="0"/>
          <w:sz w:val="24"/>
          <w:szCs w:val="24"/>
          <w:highlight w:val="none"/>
          <w:lang w:eastAsia="zh-CN"/>
        </w:rPr>
        <w:t>单价合同。年度总费用不得超过48万元</w:t>
      </w:r>
      <w:r>
        <w:rPr>
          <w:rFonts w:hint="eastAsia" w:ascii="宋体" w:hAnsi="宋体" w:cs="Times New Roman"/>
          <w:color w:val="auto"/>
          <w:spacing w:val="0"/>
          <w:sz w:val="24"/>
          <w:szCs w:val="24"/>
          <w:highlight w:val="none"/>
          <w:lang w:eastAsia="zh-CN"/>
        </w:rPr>
        <w:t>，</w:t>
      </w:r>
      <w:r>
        <w:rPr>
          <w:rFonts w:hint="eastAsia" w:ascii="宋体" w:hAnsi="宋体" w:cs="Times New Roman"/>
          <w:color w:val="auto"/>
          <w:spacing w:val="0"/>
          <w:sz w:val="24"/>
          <w:szCs w:val="24"/>
          <w:highlight w:val="none"/>
          <w:lang w:val="en-US" w:eastAsia="zh-CN"/>
        </w:rPr>
        <w:t>超过48万元按照48万元结算</w:t>
      </w:r>
      <w:r>
        <w:rPr>
          <w:rFonts w:hint="default" w:ascii="宋体" w:hAnsi="宋体" w:eastAsia="宋体" w:cs="Times New Roman"/>
          <w:color w:val="auto"/>
          <w:spacing w:val="0"/>
          <w:sz w:val="24"/>
          <w:szCs w:val="24"/>
          <w:highlight w:val="none"/>
          <w:lang w:eastAsia="zh-CN"/>
        </w:rPr>
        <w:t>。</w:t>
      </w:r>
    </w:p>
    <w:p w14:paraId="7E5CFEB3">
      <w:pPr>
        <w:keepNext w:val="0"/>
        <w:keepLines w:val="0"/>
        <w:pageBreakBefore w:val="0"/>
        <w:widowControl w:val="0"/>
        <w:numPr>
          <w:ilvl w:val="-1"/>
          <w:numId w:val="0"/>
        </w:numPr>
        <w:shd w:val="clear"/>
        <w:kinsoku/>
        <w:wordWrap/>
        <w:overflowPunct/>
        <w:topLinePunct w:val="0"/>
        <w:bidi w:val="0"/>
        <w:adjustRightInd w:val="0"/>
        <w:snapToGrid w:val="0"/>
        <w:spacing w:line="360" w:lineRule="auto"/>
        <w:ind w:left="0" w:leftChars="0" w:right="0" w:rightChars="0" w:firstLine="480" w:firstLineChars="200"/>
        <w:textAlignment w:val="auto"/>
        <w:rPr>
          <w:rFonts w:hint="default" w:ascii="宋体" w:hAnsi="宋体" w:eastAsia="宋体" w:cs="Times New Roman"/>
          <w:color w:val="auto"/>
          <w:sz w:val="24"/>
          <w:szCs w:val="24"/>
          <w:highlight w:val="none"/>
        </w:rPr>
      </w:pPr>
      <w:r>
        <w:rPr>
          <w:rFonts w:hint="default" w:ascii="宋体" w:hAnsi="宋体" w:eastAsia="宋体" w:cs="Times New Roman"/>
          <w:color w:val="auto"/>
          <w:sz w:val="24"/>
          <w:highlight w:val="none"/>
          <w:lang w:val="en-US" w:eastAsia="zh-CN"/>
        </w:rPr>
        <w:t>注：</w:t>
      </w:r>
      <w:r>
        <w:rPr>
          <w:rFonts w:hint="eastAsia" w:ascii="宋体" w:hAnsi="宋体" w:eastAsia="宋体" w:cs="Times New Roman"/>
          <w:color w:val="auto"/>
          <w:sz w:val="24"/>
          <w:highlight w:val="none"/>
          <w:lang w:val="en-US" w:eastAsia="zh-CN"/>
        </w:rPr>
        <w:t>1、</w:t>
      </w:r>
      <w:r>
        <w:rPr>
          <w:rFonts w:hint="default" w:ascii="宋体" w:hAnsi="宋体" w:eastAsia="宋体" w:cs="Times New Roman"/>
          <w:color w:val="auto"/>
          <w:sz w:val="24"/>
          <w:highlight w:val="none"/>
          <w:lang w:val="en-US" w:eastAsia="zh-CN"/>
        </w:rPr>
        <w:t>上述费用</w:t>
      </w:r>
      <w:r>
        <w:rPr>
          <w:rFonts w:hint="default" w:ascii="宋体" w:hAnsi="宋体" w:eastAsia="宋体" w:cs="Times New Roman"/>
          <w:color w:val="auto"/>
          <w:sz w:val="24"/>
          <w:highlight w:val="none"/>
        </w:rPr>
        <w:t>应是</w:t>
      </w:r>
      <w:r>
        <w:rPr>
          <w:rFonts w:hint="default" w:ascii="宋体" w:hAnsi="宋体" w:eastAsia="宋体" w:cs="Times New Roman"/>
          <w:color w:val="auto"/>
          <w:sz w:val="24"/>
          <w:highlight w:val="none"/>
          <w:lang w:val="en-US" w:eastAsia="zh-CN"/>
        </w:rPr>
        <w:t>乙方</w:t>
      </w:r>
      <w:r>
        <w:rPr>
          <w:rFonts w:hint="default" w:ascii="宋体" w:hAnsi="宋体" w:eastAsia="宋体" w:cs="Times New Roman"/>
          <w:color w:val="auto"/>
          <w:sz w:val="24"/>
          <w:highlight w:val="none"/>
        </w:rPr>
        <w:t>为实现合同目的所涉及的所有费用，包括但不仅限于服务期内完成所有维护服务并经</w:t>
      </w:r>
      <w:r>
        <w:rPr>
          <w:rFonts w:hint="default" w:ascii="宋体" w:hAnsi="宋体" w:eastAsia="宋体" w:cs="Times New Roman"/>
          <w:color w:val="auto"/>
          <w:sz w:val="24"/>
          <w:highlight w:val="none"/>
          <w:lang w:val="en-US" w:eastAsia="zh-CN"/>
        </w:rPr>
        <w:t>甲方</w:t>
      </w:r>
      <w:r>
        <w:rPr>
          <w:rFonts w:hint="default" w:ascii="宋体" w:hAnsi="宋体" w:eastAsia="宋体" w:cs="Times New Roman"/>
          <w:color w:val="auto"/>
          <w:sz w:val="24"/>
          <w:highlight w:val="none"/>
        </w:rPr>
        <w:t>验收合格等所需人员、机械、设备、耗材、企业管理费、利润、税金、各种保险等全部费用。除此之外，</w:t>
      </w:r>
      <w:r>
        <w:rPr>
          <w:rFonts w:hint="default" w:ascii="宋体" w:hAnsi="宋体" w:eastAsia="宋体" w:cs="Times New Roman"/>
          <w:color w:val="auto"/>
          <w:sz w:val="24"/>
          <w:highlight w:val="none"/>
          <w:lang w:val="en-US" w:eastAsia="zh-CN"/>
        </w:rPr>
        <w:t>甲方</w:t>
      </w:r>
      <w:r>
        <w:rPr>
          <w:rFonts w:hint="default" w:ascii="宋体" w:hAnsi="宋体" w:eastAsia="宋体" w:cs="Times New Roman"/>
          <w:color w:val="auto"/>
          <w:sz w:val="24"/>
          <w:highlight w:val="none"/>
        </w:rPr>
        <w:t>不再向</w:t>
      </w:r>
      <w:r>
        <w:rPr>
          <w:rFonts w:hint="default" w:ascii="宋体" w:hAnsi="宋体" w:eastAsia="宋体" w:cs="Times New Roman"/>
          <w:color w:val="auto"/>
          <w:sz w:val="24"/>
          <w:highlight w:val="none"/>
          <w:lang w:val="en-US" w:eastAsia="zh-CN"/>
        </w:rPr>
        <w:t>乙方</w:t>
      </w:r>
      <w:r>
        <w:rPr>
          <w:rFonts w:hint="default" w:ascii="宋体" w:hAnsi="宋体" w:eastAsia="宋体" w:cs="Times New Roman"/>
          <w:color w:val="auto"/>
          <w:sz w:val="24"/>
          <w:highlight w:val="none"/>
        </w:rPr>
        <w:t>或者第三人支付其他</w:t>
      </w:r>
      <w:r>
        <w:rPr>
          <w:rFonts w:hint="default" w:ascii="宋体" w:hAnsi="宋体" w:eastAsia="宋体" w:cs="Times New Roman"/>
          <w:color w:val="auto"/>
          <w:sz w:val="24"/>
          <w:szCs w:val="24"/>
          <w:highlight w:val="none"/>
        </w:rPr>
        <w:t>任何费用。</w:t>
      </w:r>
    </w:p>
    <w:p w14:paraId="5A352AE9">
      <w:pPr>
        <w:shd w:val="clear"/>
        <w:adjustRightInd w:val="0"/>
        <w:snapToGrid w:val="0"/>
        <w:spacing w:line="360" w:lineRule="auto"/>
        <w:ind w:firstLine="480" w:firstLineChars="200"/>
        <w:rPr>
          <w:rFonts w:hint="default" w:ascii="宋体" w:hAnsi="宋体" w:eastAsia="宋体"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 xml:space="preserve">   2、设备维修更换工程量为预估数量。</w:t>
      </w:r>
      <w:r>
        <w:rPr>
          <w:rFonts w:hint="eastAsia" w:ascii="宋体" w:hAnsi="宋体" w:cs="Times New Roman"/>
          <w:color w:val="auto"/>
          <w:sz w:val="24"/>
          <w:szCs w:val="24"/>
          <w:highlight w:val="none"/>
          <w:lang w:val="en-US" w:eastAsia="zh-CN"/>
        </w:rPr>
        <w:t>乙方</w:t>
      </w:r>
      <w:r>
        <w:rPr>
          <w:rFonts w:hint="default" w:ascii="宋体" w:hAnsi="宋体" w:cs="Times New Roman"/>
          <w:color w:val="auto"/>
          <w:sz w:val="24"/>
          <w:szCs w:val="24"/>
          <w:highlight w:val="none"/>
          <w:lang w:val="en-US" w:eastAsia="zh-CN"/>
        </w:rPr>
        <w:t>不得因设备维修更换数量增加或减少而调整</w:t>
      </w:r>
      <w:r>
        <w:rPr>
          <w:rFonts w:hint="eastAsia" w:ascii="宋体" w:hAnsi="宋体" w:cs="Times New Roman"/>
          <w:color w:val="auto"/>
          <w:sz w:val="24"/>
          <w:szCs w:val="24"/>
          <w:highlight w:val="none"/>
          <w:lang w:val="en-US" w:eastAsia="zh-CN"/>
        </w:rPr>
        <w:t>合同</w:t>
      </w:r>
      <w:r>
        <w:rPr>
          <w:rFonts w:hint="default" w:ascii="宋体" w:hAnsi="宋体" w:cs="Times New Roman"/>
          <w:color w:val="auto"/>
          <w:sz w:val="24"/>
          <w:szCs w:val="24"/>
          <w:highlight w:val="none"/>
          <w:lang w:val="en-US" w:eastAsia="zh-CN"/>
        </w:rPr>
        <w:t>综合单价。</w:t>
      </w:r>
    </w:p>
    <w:p w14:paraId="1C6A4AAC">
      <w:pPr>
        <w:keepNext w:val="0"/>
        <w:keepLines w:val="0"/>
        <w:pageBreakBefore w:val="0"/>
        <w:widowControl/>
        <w:shd w:val="clear"/>
        <w:kinsoku/>
        <w:wordWrap/>
        <w:overflowPunct/>
        <w:topLinePunct w:val="0"/>
        <w:bidi w:val="0"/>
        <w:adjustRightInd w:val="0"/>
        <w:snapToGrid w:val="0"/>
        <w:spacing w:line="360" w:lineRule="auto"/>
        <w:ind w:left="0" w:leftChars="0" w:right="0" w:rightChars="0" w:firstLine="480" w:firstLineChars="200"/>
        <w:textAlignment w:val="baseline"/>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合同总价暂定：（大写）</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，（小写）</w:t>
      </w:r>
      <w:r>
        <w:rPr>
          <w:rFonts w:hint="eastAsia" w:ascii="宋体" w:hAnsi="宋体" w:eastAsia="宋体" w:cs="Times New Roman"/>
          <w:color w:val="auto"/>
          <w:sz w:val="24"/>
          <w:highlight w:val="none"/>
          <w:u w:val="none" w:color="000000"/>
        </w:rPr>
        <w:t>¥</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u w:val="none" w:color="000000"/>
        </w:rPr>
        <w:t>元</w:t>
      </w:r>
      <w:r>
        <w:rPr>
          <w:rFonts w:hint="eastAsia" w:ascii="宋体" w:hAnsi="宋体" w:eastAsia="宋体" w:cs="Times New Roman"/>
          <w:color w:val="auto"/>
          <w:sz w:val="24"/>
          <w:highlight w:val="none"/>
        </w:rPr>
        <w:t>。</w:t>
      </w:r>
    </w:p>
    <w:p w14:paraId="0FAACA19">
      <w:pPr>
        <w:keepNext w:val="0"/>
        <w:keepLines w:val="0"/>
        <w:pageBreakBefore w:val="0"/>
        <w:widowControl/>
        <w:shd w:val="clear"/>
        <w:kinsoku/>
        <w:wordWrap/>
        <w:overflowPunct/>
        <w:topLinePunct w:val="0"/>
        <w:bidi w:val="0"/>
        <w:adjustRightInd w:val="0"/>
        <w:snapToGrid w:val="0"/>
        <w:spacing w:line="360" w:lineRule="auto"/>
        <w:ind w:left="0" w:leftChars="0" w:right="0" w:rightChars="0" w:firstLine="480" w:firstLineChars="200"/>
        <w:textAlignment w:val="baseline"/>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其中：</w:t>
      </w:r>
      <w:r>
        <w:rPr>
          <w:rFonts w:hint="eastAsia" w:ascii="宋体" w:hAnsi="宋体" w:eastAsia="宋体" w:cs="Times New Roman"/>
          <w:b w:val="0"/>
          <w:bCs w:val="0"/>
          <w:color w:val="auto"/>
          <w:spacing w:val="0"/>
          <w:sz w:val="24"/>
          <w:szCs w:val="24"/>
          <w:highlight w:val="none"/>
          <w:lang w:val="en-US" w:eastAsia="zh-CN"/>
        </w:rPr>
        <w:t>对灯光音乐</w:t>
      </w:r>
      <w:r>
        <w:rPr>
          <w:rFonts w:hint="eastAsia" w:ascii="宋体" w:hAnsi="宋体" w:eastAsia="宋体" w:cs="Times New Roman"/>
          <w:b w:val="0"/>
          <w:bCs w:val="0"/>
          <w:color w:val="auto"/>
          <w:spacing w:val="0"/>
          <w:sz w:val="24"/>
          <w:szCs w:val="24"/>
          <w:highlight w:val="none"/>
          <w:lang w:eastAsia="zh-CN"/>
        </w:rPr>
        <w:t>喷泉</w:t>
      </w:r>
      <w:r>
        <w:rPr>
          <w:rFonts w:hint="eastAsia" w:ascii="宋体" w:hAnsi="宋体" w:eastAsia="宋体" w:cs="Times New Roman"/>
          <w:b w:val="0"/>
          <w:bCs w:val="0"/>
          <w:color w:val="auto"/>
          <w:spacing w:val="0"/>
          <w:sz w:val="24"/>
          <w:szCs w:val="24"/>
          <w:highlight w:val="none"/>
          <w:lang w:val="en-US" w:eastAsia="zh-CN"/>
        </w:rPr>
        <w:t>日常</w:t>
      </w:r>
      <w:r>
        <w:rPr>
          <w:rFonts w:hint="eastAsia" w:ascii="宋体" w:hAnsi="宋体" w:eastAsia="宋体" w:cs="Times New Roman"/>
          <w:b w:val="0"/>
          <w:bCs w:val="0"/>
          <w:color w:val="auto"/>
          <w:spacing w:val="0"/>
          <w:sz w:val="24"/>
          <w:szCs w:val="24"/>
          <w:highlight w:val="none"/>
          <w:lang w:eastAsia="zh-CN"/>
        </w:rPr>
        <w:t>的</w:t>
      </w:r>
      <w:r>
        <w:rPr>
          <w:rFonts w:hint="eastAsia" w:ascii="宋体" w:hAnsi="宋体" w:eastAsia="宋体" w:cs="Times New Roman"/>
          <w:b w:val="0"/>
          <w:bCs w:val="0"/>
          <w:color w:val="auto"/>
          <w:spacing w:val="0"/>
          <w:sz w:val="24"/>
          <w:szCs w:val="24"/>
          <w:highlight w:val="none"/>
          <w:lang w:val="en-US" w:eastAsia="zh-CN"/>
        </w:rPr>
        <w:t>喷放运行、喷泉设备设施巡检保养部分</w:t>
      </w:r>
      <w:r>
        <w:rPr>
          <w:rFonts w:hint="eastAsia" w:ascii="宋体" w:hAnsi="宋体" w:eastAsia="宋体" w:cs="Times New Roman"/>
          <w:color w:val="auto"/>
          <w:sz w:val="24"/>
          <w:highlight w:val="none"/>
        </w:rPr>
        <w:t>金额（大写）</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，（小写）</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w:t>
      </w:r>
      <w:r>
        <w:rPr>
          <w:rFonts w:hint="default" w:ascii="宋体" w:hAnsi="宋体" w:eastAsia="宋体" w:cs="Times New Roman"/>
          <w:color w:val="auto"/>
          <w:spacing w:val="0"/>
          <w:sz w:val="24"/>
          <w:szCs w:val="24"/>
          <w:highlight w:val="none"/>
          <w:lang w:val="en-US" w:eastAsia="zh-CN"/>
        </w:rPr>
        <w:t>设备的维修更换</w:t>
      </w:r>
      <w:r>
        <w:rPr>
          <w:rFonts w:hint="default" w:ascii="宋体" w:hAnsi="宋体" w:eastAsia="宋体" w:cs="Times New Roman"/>
          <w:color w:val="auto"/>
          <w:spacing w:val="0"/>
          <w:sz w:val="24"/>
          <w:szCs w:val="24"/>
          <w:highlight w:val="none"/>
          <w:lang w:eastAsia="zh-CN"/>
        </w:rPr>
        <w:t>部分</w:t>
      </w:r>
      <w:r>
        <w:rPr>
          <w:rFonts w:hint="default" w:ascii="宋体" w:hAnsi="宋体" w:eastAsia="宋体" w:cs="Times New Roman"/>
          <w:color w:val="auto"/>
          <w:sz w:val="24"/>
          <w:highlight w:val="none"/>
        </w:rPr>
        <w:t>金</w:t>
      </w:r>
      <w:r>
        <w:rPr>
          <w:rFonts w:hint="eastAsia" w:ascii="宋体" w:hAnsi="宋体" w:eastAsia="宋体" w:cs="Times New Roman"/>
          <w:color w:val="auto"/>
          <w:sz w:val="24"/>
          <w:highlight w:val="none"/>
        </w:rPr>
        <w:t>额</w:t>
      </w:r>
      <w:r>
        <w:rPr>
          <w:rFonts w:hint="eastAsia" w:ascii="宋体" w:hAnsi="宋体" w:eastAsia="宋体" w:cs="Times New Roman"/>
          <w:color w:val="auto"/>
          <w:sz w:val="24"/>
          <w:highlight w:val="none"/>
          <w:lang w:val="en-US" w:eastAsia="zh-CN"/>
        </w:rPr>
        <w:t>暂定为</w:t>
      </w:r>
      <w:r>
        <w:rPr>
          <w:rFonts w:hint="eastAsia" w:ascii="宋体" w:hAnsi="宋体" w:eastAsia="宋体" w:cs="Times New Roman"/>
          <w:color w:val="auto"/>
          <w:sz w:val="24"/>
          <w:highlight w:val="none"/>
        </w:rPr>
        <w:t>（大写）</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，（小写）</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w:t>
      </w:r>
    </w:p>
    <w:p w14:paraId="27CB9192">
      <w:pPr>
        <w:keepNext w:val="0"/>
        <w:keepLines w:val="0"/>
        <w:pageBreakBefore w:val="0"/>
        <w:widowControl/>
        <w:numPr>
          <w:ilvl w:val="0"/>
          <w:numId w:val="0"/>
        </w:numPr>
        <w:shd w:val="clear"/>
        <w:kinsoku/>
        <w:wordWrap/>
        <w:overflowPunct/>
        <w:topLinePunct w:val="0"/>
        <w:bidi w:val="0"/>
        <w:adjustRightInd w:val="0"/>
        <w:snapToGrid w:val="0"/>
        <w:spacing w:line="360" w:lineRule="auto"/>
        <w:ind w:left="0" w:leftChars="0" w:right="0" w:rightChars="0" w:firstLine="482" w:firstLineChars="200"/>
        <w:textAlignment w:val="baseline"/>
        <w:rPr>
          <w:rFonts w:ascii="宋体" w:hAnsi="宋体"/>
          <w:b/>
          <w:bCs/>
          <w:color w:val="auto"/>
          <w:sz w:val="24"/>
          <w:highlight w:val="none"/>
        </w:rPr>
      </w:pPr>
      <w:r>
        <w:rPr>
          <w:rFonts w:hint="eastAsia" w:ascii="宋体" w:hAnsi="宋体" w:eastAsia="宋体" w:cs="Times New Roman"/>
          <w:b/>
          <w:bCs/>
          <w:color w:val="auto"/>
          <w:sz w:val="24"/>
          <w:highlight w:val="none"/>
          <w:lang w:val="en-US" w:eastAsia="zh-CN"/>
        </w:rPr>
        <w:t>五、</w:t>
      </w:r>
      <w:r>
        <w:rPr>
          <w:rFonts w:hint="eastAsia" w:ascii="宋体" w:hAnsi="宋体"/>
          <w:b/>
          <w:bCs/>
          <w:color w:val="auto"/>
          <w:sz w:val="24"/>
          <w:highlight w:val="none"/>
        </w:rPr>
        <w:t>技术要求</w:t>
      </w:r>
    </w:p>
    <w:p w14:paraId="59954847">
      <w:pPr>
        <w:keepNext w:val="0"/>
        <w:keepLines w:val="0"/>
        <w:pageBreakBefore w:val="0"/>
        <w:widowControl/>
        <w:numPr>
          <w:ilvl w:val="0"/>
          <w:numId w:val="0"/>
        </w:numPr>
        <w:shd w:val="clear"/>
        <w:kinsoku/>
        <w:wordWrap/>
        <w:overflowPunct/>
        <w:topLinePunct w:val="0"/>
        <w:autoSpaceDE w:val="0"/>
        <w:bidi w:val="0"/>
        <w:adjustRightInd w:val="0"/>
        <w:snapToGrid w:val="0"/>
        <w:spacing w:line="360" w:lineRule="auto"/>
        <w:ind w:left="0" w:leftChars="0" w:right="0" w:rightChars="0" w:firstLine="480" w:firstLineChars="200"/>
        <w:textAlignment w:val="baseline"/>
        <w:rPr>
          <w:rFonts w:hint="default" w:ascii="宋体" w:hAnsi="宋体" w:eastAsia="宋体" w:cs="Times New Roman"/>
          <w:color w:val="auto"/>
          <w:sz w:val="24"/>
          <w:szCs w:val="24"/>
          <w:highlight w:val="none"/>
        </w:rPr>
      </w:pPr>
      <w:r>
        <w:rPr>
          <w:rFonts w:hint="default" w:ascii="宋体" w:hAnsi="宋体" w:eastAsia="宋体" w:cs="Times New Roman"/>
          <w:color w:val="auto"/>
          <w:sz w:val="24"/>
          <w:szCs w:val="24"/>
          <w:highlight w:val="none"/>
          <w:lang w:val="en-US" w:eastAsia="zh-CN"/>
        </w:rPr>
        <w:t>1</w:t>
      </w:r>
      <w:r>
        <w:rPr>
          <w:rFonts w:hint="default" w:ascii="宋体" w:hAnsi="宋体" w:eastAsia="宋体" w:cs="Times New Roman"/>
          <w:color w:val="auto"/>
          <w:sz w:val="24"/>
          <w:szCs w:val="24"/>
          <w:highlight w:val="none"/>
        </w:rPr>
        <w:t>、</w:t>
      </w:r>
      <w:r>
        <w:rPr>
          <w:rFonts w:hint="eastAsia" w:ascii="宋体" w:hAnsi="宋体" w:cs="Times New Roman"/>
          <w:color w:val="auto"/>
          <w:sz w:val="24"/>
          <w:szCs w:val="24"/>
          <w:highlight w:val="none"/>
          <w:lang w:val="en-US" w:eastAsia="zh-CN"/>
        </w:rPr>
        <w:t>乙方</w:t>
      </w:r>
      <w:r>
        <w:rPr>
          <w:rFonts w:hint="default" w:ascii="宋体" w:hAnsi="宋体" w:eastAsia="宋体" w:cs="Times New Roman"/>
          <w:color w:val="auto"/>
          <w:sz w:val="24"/>
          <w:szCs w:val="24"/>
          <w:highlight w:val="none"/>
        </w:rPr>
        <w:t>在实施前须书面向</w:t>
      </w:r>
      <w:r>
        <w:rPr>
          <w:rFonts w:hint="eastAsia" w:ascii="宋体" w:hAnsi="宋体" w:cs="Times New Roman"/>
          <w:color w:val="auto"/>
          <w:sz w:val="24"/>
          <w:szCs w:val="24"/>
          <w:highlight w:val="none"/>
          <w:lang w:val="en-US" w:eastAsia="zh-CN"/>
        </w:rPr>
        <w:t>甲方</w:t>
      </w:r>
      <w:r>
        <w:rPr>
          <w:rFonts w:hint="default" w:ascii="宋体" w:hAnsi="宋体" w:eastAsia="宋体" w:cs="Times New Roman"/>
          <w:color w:val="auto"/>
          <w:sz w:val="24"/>
          <w:szCs w:val="24"/>
          <w:highlight w:val="none"/>
        </w:rPr>
        <w:t>请示，经</w:t>
      </w:r>
      <w:r>
        <w:rPr>
          <w:rFonts w:hint="eastAsia" w:ascii="宋体" w:hAnsi="宋体" w:cs="Times New Roman"/>
          <w:color w:val="auto"/>
          <w:sz w:val="24"/>
          <w:szCs w:val="24"/>
          <w:highlight w:val="none"/>
          <w:lang w:val="en-US" w:eastAsia="zh-CN"/>
        </w:rPr>
        <w:t>甲方</w:t>
      </w:r>
      <w:r>
        <w:rPr>
          <w:rFonts w:hint="default" w:ascii="宋体" w:hAnsi="宋体" w:eastAsia="宋体" w:cs="Times New Roman"/>
          <w:color w:val="auto"/>
          <w:sz w:val="24"/>
          <w:szCs w:val="24"/>
          <w:highlight w:val="none"/>
        </w:rPr>
        <w:t>同意后方可实施。喷泉设备设施出现故障由</w:t>
      </w:r>
      <w:r>
        <w:rPr>
          <w:rFonts w:hint="eastAsia" w:ascii="宋体" w:hAnsi="宋体" w:cs="Times New Roman"/>
          <w:color w:val="auto"/>
          <w:sz w:val="24"/>
          <w:szCs w:val="24"/>
          <w:highlight w:val="none"/>
          <w:lang w:val="en-US" w:eastAsia="zh-CN"/>
        </w:rPr>
        <w:t>乙方</w:t>
      </w:r>
      <w:r>
        <w:rPr>
          <w:rFonts w:hint="default" w:ascii="宋体" w:hAnsi="宋体" w:eastAsia="宋体" w:cs="Times New Roman"/>
          <w:color w:val="auto"/>
          <w:sz w:val="24"/>
          <w:szCs w:val="24"/>
          <w:highlight w:val="none"/>
        </w:rPr>
        <w:t>向</w:t>
      </w:r>
      <w:r>
        <w:rPr>
          <w:rFonts w:hint="eastAsia" w:ascii="宋体" w:hAnsi="宋体" w:cs="Times New Roman"/>
          <w:color w:val="auto"/>
          <w:sz w:val="24"/>
          <w:szCs w:val="24"/>
          <w:highlight w:val="none"/>
          <w:lang w:val="en-US" w:eastAsia="zh-CN"/>
        </w:rPr>
        <w:t>甲方</w:t>
      </w:r>
      <w:r>
        <w:rPr>
          <w:rFonts w:hint="default" w:ascii="宋体" w:hAnsi="宋体" w:eastAsia="宋体" w:cs="Times New Roman"/>
          <w:color w:val="auto"/>
          <w:sz w:val="24"/>
          <w:szCs w:val="24"/>
          <w:highlight w:val="none"/>
        </w:rPr>
        <w:t>提出书面申请及维修更换方案，经</w:t>
      </w:r>
      <w:r>
        <w:rPr>
          <w:rFonts w:hint="eastAsia" w:ascii="宋体" w:hAnsi="宋体" w:cs="Times New Roman"/>
          <w:color w:val="auto"/>
          <w:sz w:val="24"/>
          <w:szCs w:val="24"/>
          <w:highlight w:val="none"/>
          <w:lang w:val="en-US" w:eastAsia="zh-CN"/>
        </w:rPr>
        <w:t>甲方</w:t>
      </w:r>
      <w:r>
        <w:rPr>
          <w:rFonts w:hint="default" w:ascii="宋体" w:hAnsi="宋体" w:eastAsia="宋体" w:cs="Times New Roman"/>
          <w:color w:val="auto"/>
          <w:sz w:val="24"/>
          <w:szCs w:val="24"/>
          <w:highlight w:val="none"/>
        </w:rPr>
        <w:t>同意后可进行拆除及整机换新。在维修更换过程中应留存维修更换前后的影像资料，做好文字记录，用于结算。</w:t>
      </w:r>
    </w:p>
    <w:p w14:paraId="50EEBA4E">
      <w:pPr>
        <w:keepNext w:val="0"/>
        <w:keepLines w:val="0"/>
        <w:pageBreakBefore w:val="0"/>
        <w:widowControl/>
        <w:numPr>
          <w:ilvl w:val="0"/>
          <w:numId w:val="0"/>
        </w:numPr>
        <w:shd w:val="clear"/>
        <w:kinsoku/>
        <w:wordWrap/>
        <w:overflowPunct/>
        <w:topLinePunct w:val="0"/>
        <w:autoSpaceDE/>
        <w:bidi w:val="0"/>
        <w:adjustRightInd w:val="0"/>
        <w:snapToGrid w:val="0"/>
        <w:spacing w:after="0" w:line="360" w:lineRule="auto"/>
        <w:ind w:left="0" w:leftChars="0" w:right="0" w:rightChars="0" w:firstLine="480" w:firstLineChars="200"/>
        <w:textAlignment w:val="baseline"/>
        <w:rPr>
          <w:rFonts w:hint="default" w:ascii="宋体" w:hAnsi="宋体" w:eastAsia="宋体" w:cs="Times New Roman"/>
          <w:color w:val="auto"/>
          <w:sz w:val="24"/>
          <w:szCs w:val="24"/>
          <w:highlight w:val="none"/>
          <w:lang w:val="en-US" w:eastAsia="zh-CN"/>
        </w:rPr>
      </w:pPr>
      <w:r>
        <w:rPr>
          <w:rFonts w:hint="default" w:ascii="宋体" w:hAnsi="宋体" w:eastAsia="宋体" w:cs="Times New Roman"/>
          <w:color w:val="auto"/>
          <w:sz w:val="24"/>
          <w:szCs w:val="24"/>
          <w:highlight w:val="none"/>
          <w:lang w:val="en-US" w:eastAsia="zh-CN"/>
        </w:rPr>
        <w:t>2</w:t>
      </w:r>
      <w:r>
        <w:rPr>
          <w:rFonts w:hint="default" w:ascii="宋体" w:hAnsi="宋体" w:eastAsia="宋体" w:cs="Times New Roman"/>
          <w:color w:val="auto"/>
          <w:sz w:val="24"/>
          <w:szCs w:val="24"/>
          <w:highlight w:val="none"/>
        </w:rPr>
        <w:t>、每年年度表演结束或年度开始表演前，对喷泉设备进行全面大型检查、维修各一次</w:t>
      </w:r>
      <w:r>
        <w:rPr>
          <w:rFonts w:hint="eastAsia" w:ascii="宋体" w:hAnsi="宋体" w:cs="Times New Roman"/>
          <w:color w:val="auto"/>
          <w:sz w:val="24"/>
          <w:szCs w:val="24"/>
          <w:highlight w:val="none"/>
          <w:lang w:eastAsia="zh-CN"/>
        </w:rPr>
        <w:t>，</w:t>
      </w:r>
      <w:r>
        <w:rPr>
          <w:rFonts w:hint="eastAsia" w:ascii="宋体" w:hAnsi="宋体" w:cs="Times New Roman"/>
          <w:color w:val="auto"/>
          <w:sz w:val="24"/>
          <w:szCs w:val="24"/>
          <w:highlight w:val="none"/>
          <w:lang w:val="en-US" w:eastAsia="zh-CN"/>
        </w:rPr>
        <w:t>以保证喷泉设施在服务期内正常运行。</w:t>
      </w:r>
    </w:p>
    <w:p w14:paraId="2EFF2C0A">
      <w:pPr>
        <w:pStyle w:val="2"/>
        <w:shd w:val="clear"/>
        <w:autoSpaceDE/>
        <w:autoSpaceDN/>
        <w:adjustRightInd w:val="0"/>
        <w:snapToGrid w:val="0"/>
        <w:spacing w:line="360" w:lineRule="auto"/>
        <w:ind w:firstLine="480" w:firstLineChars="200"/>
        <w:rPr>
          <w:rFonts w:hint="default" w:hAnsi="Calibri" w:cs="Times New Roman"/>
          <w:bCs/>
          <w:color w:val="auto"/>
          <w:kern w:val="2"/>
          <w:sz w:val="24"/>
          <w:szCs w:val="24"/>
          <w:highlight w:val="none"/>
          <w:lang w:val="en-US" w:eastAsia="zh-CN"/>
        </w:rPr>
      </w:pPr>
      <w:r>
        <w:rPr>
          <w:rFonts w:hint="default" w:ascii="宋体" w:hAnsi="宋体" w:eastAsia="宋体" w:cs="Times New Roman"/>
          <w:color w:val="auto"/>
          <w:sz w:val="24"/>
          <w:szCs w:val="24"/>
          <w:highlight w:val="none"/>
          <w:lang w:val="en-US" w:eastAsia="zh-CN"/>
        </w:rPr>
        <w:t>3</w:t>
      </w:r>
      <w:r>
        <w:rPr>
          <w:rFonts w:hint="default" w:ascii="宋体" w:hAnsi="宋体" w:eastAsia="宋体" w:cs="Times New Roman"/>
          <w:color w:val="auto"/>
          <w:sz w:val="24"/>
          <w:szCs w:val="24"/>
          <w:highlight w:val="none"/>
        </w:rPr>
        <w:t>、</w:t>
      </w:r>
      <w:r>
        <w:rPr>
          <w:rFonts w:hint="eastAsia" w:hAnsi="Calibri" w:cs="Times New Roman"/>
          <w:bCs/>
          <w:color w:val="auto"/>
          <w:kern w:val="2"/>
          <w:sz w:val="24"/>
          <w:szCs w:val="24"/>
          <w:highlight w:val="none"/>
          <w:lang w:val="en-US" w:eastAsia="zh-CN"/>
        </w:rPr>
        <w:t>质保期：更换配件部分，自更换后正式投运起一年。如发生质量问题，乙方应在收到甲方通知后，按照甲方通知时间及时无条件免费给予更换，更换后质保期重新计算，以此类推。如乙方怠于或拒绝履行的，甲方有权自行或委托第三方更换，因此产生的一切费用及损失，均由乙方承担。</w:t>
      </w:r>
    </w:p>
    <w:p w14:paraId="4C1E315F">
      <w:pPr>
        <w:shd w:val="clear"/>
        <w:spacing w:after="0" w:line="360" w:lineRule="auto"/>
        <w:ind w:firstLine="0" w:firstLineChars="0"/>
        <w:rPr>
          <w:rFonts w:hint="eastAsia" w:hAnsi="Calibri" w:cs="Times New Roman"/>
          <w:bCs/>
          <w:color w:val="auto"/>
          <w:kern w:val="2"/>
          <w:sz w:val="24"/>
          <w:szCs w:val="24"/>
          <w:highlight w:val="none"/>
          <w:lang w:val="en-US" w:eastAsia="zh-CN"/>
        </w:rPr>
      </w:pPr>
      <w:r>
        <w:rPr>
          <w:rFonts w:hint="eastAsia" w:hAnsi="Calibri" w:cs="Times New Roman"/>
          <w:bCs/>
          <w:color w:val="auto"/>
          <w:kern w:val="2"/>
          <w:sz w:val="24"/>
          <w:szCs w:val="24"/>
          <w:highlight w:val="none"/>
          <w:lang w:val="en-US" w:eastAsia="zh-CN"/>
        </w:rPr>
        <w:t xml:space="preserve">      </w:t>
      </w:r>
    </w:p>
    <w:p w14:paraId="7BE06086">
      <w:pPr>
        <w:shd w:val="clear"/>
        <w:spacing w:after="0" w:line="360" w:lineRule="auto"/>
        <w:ind w:firstLine="480" w:firstLineChars="200"/>
        <w:rPr>
          <w:rFonts w:hint="eastAsia" w:hAnsi="Calibri" w:cs="Times New Roman"/>
          <w:bCs/>
          <w:color w:val="auto"/>
          <w:kern w:val="2"/>
          <w:sz w:val="24"/>
          <w:szCs w:val="24"/>
          <w:highlight w:val="none"/>
          <w:lang w:val="en-US" w:eastAsia="zh-CN"/>
        </w:rPr>
      </w:pPr>
      <w:r>
        <w:rPr>
          <w:rFonts w:hint="eastAsia" w:hAnsi="Calibri" w:cs="Times New Roman"/>
          <w:bCs/>
          <w:color w:val="auto"/>
          <w:kern w:val="2"/>
          <w:sz w:val="24"/>
          <w:szCs w:val="24"/>
          <w:highlight w:val="none"/>
          <w:lang w:val="en-US" w:eastAsia="zh-CN"/>
        </w:rPr>
        <w:t>乙方质保联系方式如下，如发生变更，乙方应提前【】日书面通知甲方，否则因无法及时通知产生的全部损失及责任，均由乙方承担。</w:t>
      </w:r>
    </w:p>
    <w:p w14:paraId="7B1C2A1E">
      <w:pPr>
        <w:shd w:val="clear"/>
        <w:spacing w:after="0" w:line="360" w:lineRule="auto"/>
        <w:ind w:firstLine="480" w:firstLineChars="200"/>
        <w:rPr>
          <w:rFonts w:hint="eastAsia" w:hAnsi="Calibri" w:cs="Times New Roman"/>
          <w:bCs/>
          <w:color w:val="auto"/>
          <w:kern w:val="2"/>
          <w:sz w:val="24"/>
          <w:szCs w:val="24"/>
          <w:highlight w:val="none"/>
          <w:lang w:val="en-US" w:eastAsia="zh-CN"/>
        </w:rPr>
      </w:pPr>
      <w:r>
        <w:rPr>
          <w:rFonts w:hint="eastAsia" w:hAnsi="Calibri" w:cs="Times New Roman"/>
          <w:bCs/>
          <w:color w:val="auto"/>
          <w:kern w:val="2"/>
          <w:sz w:val="24"/>
          <w:szCs w:val="24"/>
          <w:highlight w:val="none"/>
          <w:lang w:val="en-US" w:eastAsia="zh-CN"/>
        </w:rPr>
        <w:t xml:space="preserve">联系人：      联系电话：   </w:t>
      </w:r>
    </w:p>
    <w:p w14:paraId="1A8810D5">
      <w:pPr>
        <w:pStyle w:val="2"/>
        <w:shd w:val="clear"/>
        <w:autoSpaceDE/>
        <w:autoSpaceDN/>
        <w:adjustRightInd w:val="0"/>
        <w:snapToGrid w:val="0"/>
        <w:spacing w:line="360" w:lineRule="auto"/>
        <w:rPr>
          <w:rFonts w:hint="eastAsia" w:hAnsi="Calibri" w:cs="Times New Roman"/>
          <w:bCs/>
          <w:color w:val="auto"/>
          <w:kern w:val="2"/>
          <w:sz w:val="24"/>
          <w:szCs w:val="24"/>
          <w:highlight w:val="none"/>
          <w:lang w:val="en-US" w:eastAsia="zh-CN"/>
        </w:rPr>
      </w:pPr>
      <w:r>
        <w:rPr>
          <w:rFonts w:hint="eastAsia" w:hAnsi="Calibri" w:cs="Times New Roman"/>
          <w:bCs/>
          <w:color w:val="auto"/>
          <w:kern w:val="2"/>
          <w:sz w:val="24"/>
          <w:szCs w:val="24"/>
          <w:highlight w:val="none"/>
          <w:lang w:val="en-US" w:eastAsia="zh-CN"/>
        </w:rPr>
        <w:t xml:space="preserve">       联系地址：</w:t>
      </w:r>
    </w:p>
    <w:p w14:paraId="73194907">
      <w:pPr>
        <w:keepNext w:val="0"/>
        <w:keepLines w:val="0"/>
        <w:pageBreakBefore w:val="0"/>
        <w:widowControl/>
        <w:numPr>
          <w:ilvl w:val="0"/>
          <w:numId w:val="0"/>
        </w:numPr>
        <w:shd w:val="clear"/>
        <w:kinsoku/>
        <w:wordWrap/>
        <w:overflowPunct/>
        <w:topLinePunct w:val="0"/>
        <w:autoSpaceDE/>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highlight w:val="none"/>
          <w:lang w:val="en-US" w:eastAsia="zh-CN"/>
        </w:rPr>
      </w:pPr>
      <w:r>
        <w:rPr>
          <w:rFonts w:hint="eastAsia" w:ascii="宋体" w:hAnsi="宋体" w:cs="Times New Roman"/>
          <w:color w:val="auto"/>
          <w:sz w:val="24"/>
          <w:szCs w:val="24"/>
          <w:highlight w:val="none"/>
          <w:lang w:val="en-US" w:eastAsia="zh-CN"/>
        </w:rPr>
        <w:t>4、</w:t>
      </w:r>
      <w:r>
        <w:rPr>
          <w:rFonts w:hint="default" w:ascii="宋体" w:hAnsi="宋体" w:eastAsia="宋体" w:cs="Times New Roman"/>
          <w:color w:val="auto"/>
          <w:sz w:val="24"/>
          <w:szCs w:val="24"/>
          <w:highlight w:val="none"/>
        </w:rPr>
        <w:t>本项目服务、维修及更换具体要求详见附件2。</w:t>
      </w:r>
    </w:p>
    <w:p w14:paraId="1E6D6A74">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rPr>
        <w:t>六、验收方式</w:t>
      </w:r>
    </w:p>
    <w:p w14:paraId="2FBF98C3">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eastAsia="宋体" w:cs="Times New Roman"/>
          <w:color w:val="auto"/>
          <w:kern w:val="2"/>
          <w:sz w:val="24"/>
          <w:szCs w:val="24"/>
          <w:highlight w:val="none"/>
          <w:lang w:val="en-US" w:eastAsia="zh-CN" w:bidi="ar-SA"/>
        </w:rPr>
      </w:pPr>
      <w:r>
        <w:rPr>
          <w:rFonts w:hint="default" w:ascii="宋体" w:hAnsi="宋体" w:eastAsia="宋体" w:cs="Times New Roman"/>
          <w:color w:val="auto"/>
          <w:kern w:val="2"/>
          <w:sz w:val="24"/>
          <w:szCs w:val="24"/>
          <w:highlight w:val="none"/>
          <w:lang w:val="en-US" w:eastAsia="zh-CN" w:bidi="ar-SA"/>
        </w:rPr>
        <w:t>验收时间：项目完成后五个工作日内进行验收</w:t>
      </w:r>
      <w:r>
        <w:rPr>
          <w:rFonts w:hint="eastAsia" w:ascii="宋体" w:hAnsi="宋体" w:cs="Times New Roman"/>
          <w:color w:val="auto"/>
          <w:kern w:val="2"/>
          <w:sz w:val="24"/>
          <w:szCs w:val="24"/>
          <w:highlight w:val="none"/>
          <w:lang w:val="en-US" w:eastAsia="zh-CN" w:bidi="ar-SA"/>
        </w:rPr>
        <w:t>。</w:t>
      </w:r>
    </w:p>
    <w:p w14:paraId="191CA512">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eastAsia="宋体" w:cs="Times New Roman"/>
          <w:color w:val="auto"/>
          <w:kern w:val="2"/>
          <w:sz w:val="24"/>
          <w:szCs w:val="24"/>
          <w:highlight w:val="none"/>
          <w:lang w:val="en-US" w:eastAsia="zh-CN" w:bidi="ar-SA"/>
        </w:rPr>
      </w:pPr>
      <w:r>
        <w:rPr>
          <w:rFonts w:hint="default" w:ascii="宋体" w:hAnsi="宋体" w:eastAsia="宋体" w:cs="Times New Roman"/>
          <w:color w:val="auto"/>
          <w:kern w:val="2"/>
          <w:sz w:val="24"/>
          <w:szCs w:val="24"/>
          <w:highlight w:val="none"/>
          <w:lang w:val="en-US" w:eastAsia="zh-CN" w:bidi="ar-SA"/>
        </w:rPr>
        <w:t>由</w:t>
      </w:r>
      <w:r>
        <w:rPr>
          <w:rFonts w:hint="eastAsia" w:ascii="宋体" w:hAnsi="宋体" w:cs="Times New Roman"/>
          <w:color w:val="auto"/>
          <w:kern w:val="2"/>
          <w:sz w:val="24"/>
          <w:szCs w:val="24"/>
          <w:highlight w:val="none"/>
          <w:lang w:val="en-US" w:eastAsia="zh-CN" w:bidi="ar-SA"/>
        </w:rPr>
        <w:t>甲方</w:t>
      </w:r>
      <w:r>
        <w:rPr>
          <w:rFonts w:hint="default" w:ascii="宋体" w:hAnsi="宋体" w:eastAsia="宋体" w:cs="Times New Roman"/>
          <w:color w:val="auto"/>
          <w:kern w:val="2"/>
          <w:sz w:val="24"/>
          <w:szCs w:val="24"/>
          <w:highlight w:val="none"/>
          <w:lang w:val="en-US" w:eastAsia="zh-CN" w:bidi="ar-SA"/>
        </w:rPr>
        <w:t>运维管理部组织</w:t>
      </w:r>
      <w:r>
        <w:rPr>
          <w:rFonts w:hint="eastAsia" w:ascii="宋体" w:hAnsi="宋体" w:eastAsia="宋体" w:cs="Times New Roman"/>
          <w:color w:val="auto"/>
          <w:kern w:val="2"/>
          <w:sz w:val="24"/>
          <w:szCs w:val="24"/>
          <w:highlight w:val="none"/>
          <w:lang w:val="en-US" w:eastAsia="zh-CN" w:bidi="ar-SA"/>
        </w:rPr>
        <w:t>日常喷放巡检保养及维修更换考核验收</w:t>
      </w:r>
      <w:r>
        <w:rPr>
          <w:rFonts w:hint="default" w:ascii="宋体" w:hAnsi="宋体" w:eastAsia="宋体" w:cs="Times New Roman"/>
          <w:color w:val="auto"/>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核验服务内容与实际是否相符，形成书面确认单并经甲方、乙方签字（或盖章）确认。服务内容确认单包括但不限于服务内容、数量及验收结果等主要内容。</w:t>
      </w:r>
    </w:p>
    <w:p w14:paraId="180DA99C">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验收程序：（1）</w:t>
      </w:r>
      <w:r>
        <w:rPr>
          <w:rFonts w:hint="eastAsia" w:ascii="宋体" w:hAnsi="宋体" w:cs="Times New Roman"/>
          <w:color w:val="auto"/>
          <w:kern w:val="2"/>
          <w:sz w:val="24"/>
          <w:szCs w:val="24"/>
          <w:highlight w:val="none"/>
          <w:lang w:val="en-US" w:eastAsia="zh-CN" w:bidi="ar-SA"/>
        </w:rPr>
        <w:t>乙方</w:t>
      </w:r>
      <w:r>
        <w:rPr>
          <w:rFonts w:hint="eastAsia" w:ascii="宋体" w:hAnsi="宋体" w:eastAsia="宋体" w:cs="Times New Roman"/>
          <w:color w:val="auto"/>
          <w:kern w:val="2"/>
          <w:sz w:val="24"/>
          <w:szCs w:val="24"/>
          <w:highlight w:val="none"/>
          <w:lang w:val="en-US" w:eastAsia="zh-CN" w:bidi="ar-SA"/>
        </w:rPr>
        <w:t>提出验收申请；（2）制定验收方案并下达履约验收通知单；（3）成立验收小组；（4）组织验收；（5）验收资料归档。</w:t>
      </w:r>
    </w:p>
    <w:p w14:paraId="263F1407">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eastAsia="宋体" w:cs="Times New Roman"/>
          <w:color w:val="auto"/>
          <w:kern w:val="2"/>
          <w:sz w:val="24"/>
          <w:szCs w:val="24"/>
          <w:highlight w:val="none"/>
          <w:lang w:val="en-US" w:eastAsia="zh-CN" w:bidi="ar-SA"/>
        </w:rPr>
        <w:t>验收标准：根据合同约定及国家有关规范标准执行。</w:t>
      </w:r>
    </w:p>
    <w:p w14:paraId="0910F713">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hint="eastAsia" w:ascii="宋体" w:hAnsi="宋体" w:cs="Times New Roman"/>
          <w:b/>
          <w:bCs/>
          <w:color w:val="auto"/>
          <w:kern w:val="2"/>
          <w:sz w:val="24"/>
          <w:szCs w:val="24"/>
          <w:highlight w:val="none"/>
        </w:rPr>
      </w:pPr>
      <w:r>
        <w:rPr>
          <w:rFonts w:hint="default" w:ascii="宋体" w:hAnsi="宋体" w:cs="Times New Roman"/>
          <w:b/>
          <w:bCs/>
          <w:color w:val="auto"/>
          <w:kern w:val="2"/>
          <w:sz w:val="24"/>
          <w:szCs w:val="24"/>
          <w:highlight w:val="none"/>
        </w:rPr>
        <w:t>七、</w:t>
      </w:r>
      <w:r>
        <w:rPr>
          <w:rFonts w:hint="eastAsia" w:ascii="宋体" w:hAnsi="宋体" w:cs="Times New Roman"/>
          <w:b/>
          <w:bCs/>
          <w:color w:val="auto"/>
          <w:kern w:val="2"/>
          <w:sz w:val="24"/>
          <w:szCs w:val="24"/>
          <w:highlight w:val="none"/>
          <w:lang w:val="en-US" w:eastAsia="zh-CN"/>
        </w:rPr>
        <w:t>履约保证金</w:t>
      </w:r>
    </w:p>
    <w:p w14:paraId="79CABBD9">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color w:val="auto"/>
          <w:kern w:val="2"/>
          <w:sz w:val="24"/>
          <w:szCs w:val="24"/>
          <w:highlight w:val="none"/>
        </w:rPr>
      </w:pPr>
      <w:r>
        <w:rPr>
          <w:rFonts w:hint="default" w:ascii="宋体" w:hAnsi="宋体" w:cs="Times New Roman"/>
          <w:color w:val="auto"/>
          <w:kern w:val="2"/>
          <w:sz w:val="24"/>
          <w:szCs w:val="24"/>
          <w:highlight w:val="none"/>
        </w:rPr>
        <w:t>履约保证金金额：合同</w:t>
      </w:r>
      <w:r>
        <w:rPr>
          <w:rFonts w:hint="eastAsia" w:ascii="宋体" w:hAnsi="宋体" w:cs="Times New Roman"/>
          <w:color w:val="auto"/>
          <w:kern w:val="2"/>
          <w:sz w:val="24"/>
          <w:szCs w:val="24"/>
          <w:highlight w:val="none"/>
          <w:lang w:val="en-US" w:eastAsia="zh-CN"/>
        </w:rPr>
        <w:t>暂定</w:t>
      </w:r>
      <w:r>
        <w:rPr>
          <w:rFonts w:hint="default" w:ascii="宋体" w:hAnsi="宋体" w:cs="Times New Roman"/>
          <w:color w:val="auto"/>
          <w:kern w:val="2"/>
          <w:sz w:val="24"/>
          <w:szCs w:val="24"/>
          <w:highlight w:val="none"/>
        </w:rPr>
        <w:t xml:space="preserve">总价的5%。               </w:t>
      </w:r>
    </w:p>
    <w:p w14:paraId="2E1488BD">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color w:val="auto"/>
          <w:kern w:val="2"/>
          <w:sz w:val="24"/>
          <w:szCs w:val="24"/>
          <w:highlight w:val="none"/>
        </w:rPr>
      </w:pPr>
      <w:r>
        <w:rPr>
          <w:rFonts w:hint="default" w:ascii="宋体" w:hAnsi="宋体" w:cs="Times New Roman"/>
          <w:color w:val="auto"/>
          <w:kern w:val="2"/>
          <w:sz w:val="24"/>
          <w:szCs w:val="24"/>
          <w:highlight w:val="none"/>
        </w:rPr>
        <w:t>履约保证金递交时间：合同签订之前或同时。</w:t>
      </w:r>
    </w:p>
    <w:p w14:paraId="6793E8E2">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color w:val="auto"/>
          <w:kern w:val="2"/>
          <w:sz w:val="24"/>
          <w:szCs w:val="24"/>
          <w:highlight w:val="none"/>
        </w:rPr>
      </w:pPr>
      <w:r>
        <w:rPr>
          <w:rFonts w:hint="default" w:ascii="宋体" w:hAnsi="宋体" w:cs="Times New Roman"/>
          <w:color w:val="auto"/>
          <w:kern w:val="2"/>
          <w:sz w:val="24"/>
          <w:szCs w:val="24"/>
          <w:highlight w:val="none"/>
        </w:rPr>
        <w:t>履约保证金递交方式：支票、汇票、本票或者金融机构、担保机构出具的保函。</w:t>
      </w:r>
    </w:p>
    <w:p w14:paraId="5151A072">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color w:val="auto"/>
          <w:kern w:val="2"/>
          <w:sz w:val="24"/>
          <w:szCs w:val="24"/>
          <w:highlight w:val="none"/>
        </w:rPr>
      </w:pPr>
      <w:r>
        <w:rPr>
          <w:rFonts w:hint="default" w:ascii="宋体" w:hAnsi="宋体" w:cs="Times New Roman"/>
          <w:color w:val="auto"/>
          <w:kern w:val="2"/>
          <w:sz w:val="24"/>
          <w:szCs w:val="24"/>
          <w:highlight w:val="none"/>
        </w:rPr>
        <w:t>履约保证金退还时间及规定：履约保证金将在验收合格之日起十个工作日内予以退还（如有），不计利息。</w:t>
      </w:r>
    </w:p>
    <w:p w14:paraId="2A507BFE">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color w:val="auto"/>
          <w:kern w:val="2"/>
          <w:sz w:val="24"/>
          <w:szCs w:val="24"/>
          <w:highlight w:val="none"/>
        </w:rPr>
      </w:pPr>
      <w:r>
        <w:rPr>
          <w:rFonts w:hint="default" w:ascii="宋体" w:hAnsi="宋体" w:cs="Times New Roman"/>
          <w:color w:val="auto"/>
          <w:kern w:val="2"/>
          <w:sz w:val="24"/>
          <w:szCs w:val="24"/>
          <w:highlight w:val="none"/>
        </w:rPr>
        <w:t>（注：鼓励采用保函的方式递交履约保证金）</w:t>
      </w:r>
    </w:p>
    <w:p w14:paraId="112EA6BC">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b w:val="0"/>
          <w:color w:val="auto"/>
          <w:kern w:val="2"/>
          <w:sz w:val="24"/>
          <w:szCs w:val="24"/>
          <w:highlight w:val="none"/>
        </w:rPr>
      </w:pPr>
      <w:r>
        <w:rPr>
          <w:rFonts w:hint="default" w:ascii="宋体" w:hAnsi="宋体" w:cs="Times New Roman"/>
          <w:color w:val="auto"/>
          <w:kern w:val="2"/>
          <w:sz w:val="24"/>
          <w:szCs w:val="24"/>
          <w:highlight w:val="none"/>
        </w:rPr>
        <w:t>如果乙方未能履行合同并给甲方造成损失，甲方有权扣除乙方的履约保证金，如不足以弥补甲方的损失，甲方有权继续追偿。如因乙方原因导致本合同解除的（包括但不限于甲方因乙方违约等乙方原因解除合同或乙方擅自解除合同等），甲方有权扣除全部履约保证金，不再退还给乙方。</w:t>
      </w:r>
    </w:p>
    <w:p w14:paraId="3868FA3D">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lang w:val="en-US" w:eastAsia="zh-CN"/>
        </w:rPr>
        <w:t>八、</w:t>
      </w:r>
      <w:r>
        <w:rPr>
          <w:rFonts w:hint="eastAsia" w:ascii="宋体" w:hAnsi="宋体"/>
          <w:b/>
          <w:color w:val="auto"/>
          <w:sz w:val="24"/>
          <w:highlight w:val="none"/>
        </w:rPr>
        <w:t>违约责任</w:t>
      </w:r>
    </w:p>
    <w:p w14:paraId="1AF8D089">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一）乙方完全履行本合同的情况下，甲方无故逾期付款的，甲方应按逾期付款总额的全国银行间同业拆借中心公布的贷款市场报价利率计算利息，除此以外，甲方不再承担其他责任及任何费用、款项及违约金等。</w:t>
      </w:r>
    </w:p>
    <w:p w14:paraId="1E6C2943">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二）乙方逾期开展维护服务或逾期履行本合同项下任何一项带有期限的义务的，乙方应按逾期服务总额每日千分之六向甲方支付违约金，由甲方从任意一笔待付款中扣除。逾期超过约定日期十个工作日不能服务的，甲方有权解除本合同。乙方因逾期服务或因其他违约行为导致甲方解除合同的，乙方应向甲方支付合同总值百分之五的违约金，如造成甲方损失超过违约金的，超出部分由乙方继续承担赔偿责任。</w:t>
      </w:r>
    </w:p>
    <w:p w14:paraId="27475F74">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三）乙方提供的维护服务不满足本合同及招标文件要求的，甲方有权拒绝验收并提出整改意见，乙方应按照要求整改并承担逾期完成合同义务的违约责任。除按照《大连东港商务区喷泉喷放表演及运行维护考核细则》扣款（每0.1分扣500元）外，服务不达标累计达到【】次，甲方有权解除本合同，乙方应向甲方支付</w:t>
      </w:r>
      <w:r>
        <w:rPr>
          <w:rFonts w:hint="eastAsia" w:ascii="宋体" w:hAnsi="宋体"/>
          <w:color w:val="auto"/>
          <w:sz w:val="24"/>
          <w:highlight w:val="none"/>
          <w:lang w:val="en-US" w:eastAsia="zh-CN"/>
        </w:rPr>
        <w:t>合同暂定总价</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w:t>
      </w:r>
      <w:r>
        <w:rPr>
          <w:rFonts w:hint="eastAsia" w:ascii="宋体" w:hAnsi="宋体"/>
          <w:color w:val="auto"/>
          <w:sz w:val="24"/>
          <w:highlight w:val="none"/>
        </w:rPr>
        <w:t>的违约金，如造成甲方损失超过违约金的，超出部分由乙方继续承担赔偿责任。</w:t>
      </w:r>
    </w:p>
    <w:p w14:paraId="65230EC1">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（四）乙方违反本合同第五条约定的除《大连东港商务区喷泉喷放表演及运行维护考核细则》列明事项外的，甲方有权要求乙方承担违约金，违约金为合同额的</w:t>
      </w:r>
      <w:r>
        <w:rPr>
          <w:rFonts w:hint="eastAsia" w:ascii="宋体" w:hAnsi="宋体"/>
          <w:color w:val="auto"/>
          <w:sz w:val="24"/>
          <w:highlight w:val="none"/>
          <w:lang w:eastAsia="zh-CN"/>
        </w:rPr>
        <w:t>【】</w:t>
      </w:r>
      <w:r>
        <w:rPr>
          <w:rFonts w:hint="eastAsia" w:ascii="宋体" w:hAnsi="宋体"/>
          <w:color w:val="auto"/>
          <w:sz w:val="24"/>
          <w:highlight w:val="none"/>
        </w:rPr>
        <w:t>%，情节严重的，甲方有权解除本合同。</w:t>
      </w:r>
    </w:p>
    <w:p w14:paraId="20352880">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（五）除本合同另有约定外，凡因乙方原因导致本合同解除或终止，乙方应按本合同总价【】%向甲方支付违约金，该违约金不足以弥补甲方损失的，乙方应继续赔偿。</w:t>
      </w:r>
    </w:p>
    <w:p w14:paraId="24214E0B">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（六）未经甲方书面同意，乙方不得全部或部分转让本合同项下的全部或部分责任和义务，否则甲方有权解除合同。</w:t>
      </w:r>
    </w:p>
    <w:p w14:paraId="06DF1243">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（七）甲方有权从应支付乙方的维修费中直接扣除应由乙方承担的违约金、赔偿金等款项，乙方对此无异议。</w:t>
      </w:r>
    </w:p>
    <w:p w14:paraId="2360D421">
      <w:pPr>
        <w:pStyle w:val="2"/>
        <w:shd w:val="clear"/>
        <w:autoSpaceDE/>
        <w:autoSpaceDN/>
        <w:adjustRightInd w:val="0"/>
        <w:snapToGrid w:val="0"/>
        <w:spacing w:line="360" w:lineRule="auto"/>
        <w:rPr>
          <w:rFonts w:hint="default" w:eastAsia="宋体"/>
          <w:color w:val="auto"/>
          <w:highlight w:val="none"/>
          <w:lang w:val="en-US" w:eastAsia="zh-CN"/>
        </w:rPr>
      </w:pPr>
      <w:r>
        <w:rPr>
          <w:rFonts w:hint="eastAsia"/>
          <w:color w:val="auto"/>
          <w:sz w:val="24"/>
          <w:highlight w:val="none"/>
          <w:lang w:val="en-US" w:eastAsia="zh-CN"/>
        </w:rPr>
        <w:t xml:space="preserve">        （八）乙方违反本合同约定，对甲方造成实际损失的，应当赔偿甲方因此遭受的一切直接或间接损失（包括但不限于纠纷解决费用、诉讼费、仲裁费、律师费、差旅费等）</w:t>
      </w:r>
    </w:p>
    <w:p w14:paraId="0AB295BC">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lang w:val="en-US" w:eastAsia="zh-CN"/>
        </w:rPr>
        <w:t>九</w:t>
      </w:r>
      <w:r>
        <w:rPr>
          <w:rFonts w:hint="eastAsia" w:ascii="宋体" w:hAnsi="宋体"/>
          <w:b/>
          <w:color w:val="auto"/>
          <w:sz w:val="24"/>
          <w:highlight w:val="none"/>
        </w:rPr>
        <w:t>、不可抗力事件处理</w:t>
      </w:r>
    </w:p>
    <w:p w14:paraId="739D599D">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（一）在合同有效期内，任何一方因不可抗力事件导致不能履行合同，则合同履行期可延长，其延长期与不可抗力影响期相同。</w:t>
      </w:r>
    </w:p>
    <w:p w14:paraId="510CB743">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（二）不可抗力事件发生后，遭遇不可抗力的一方应立即通知合同相对方，并寄送有关权威机构出具的证明。</w:t>
      </w:r>
    </w:p>
    <w:p w14:paraId="130B4F24">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（三）不可抗力事件延续120天以上，双方应通过友好协商，确定是否继续履行合同。</w:t>
      </w:r>
    </w:p>
    <w:p w14:paraId="6AAEC042">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lang w:val="en-US" w:eastAsia="zh-CN"/>
        </w:rPr>
        <w:t>十</w:t>
      </w:r>
      <w:r>
        <w:rPr>
          <w:rFonts w:hint="eastAsia" w:ascii="宋体" w:hAnsi="宋体"/>
          <w:b/>
          <w:color w:val="auto"/>
          <w:sz w:val="24"/>
          <w:highlight w:val="none"/>
        </w:rPr>
        <w:t>、争议的解决</w:t>
      </w:r>
    </w:p>
    <w:p w14:paraId="11F37727">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（一）在履行合同过程中发生争议时，双方当事人协商解决，协商不成的，采用下列第</w:t>
      </w:r>
      <w:r>
        <w:rPr>
          <w:rFonts w:hint="eastAsia" w:ascii="宋体" w:hAnsi="宋体"/>
          <w:color w:val="auto"/>
          <w:sz w:val="24"/>
          <w:highlight w:val="none"/>
          <w:lang w:val="en-US" w:eastAsia="zh-CN"/>
        </w:rPr>
        <w:t>2</w:t>
      </w:r>
      <w:r>
        <w:rPr>
          <w:rFonts w:hint="eastAsia" w:ascii="宋体" w:hAnsi="宋体"/>
          <w:color w:val="auto"/>
          <w:sz w:val="24"/>
          <w:highlight w:val="none"/>
        </w:rPr>
        <w:t>种方法解决。</w:t>
      </w:r>
    </w:p>
    <w:p w14:paraId="5F7147D0">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1.提交大连仲裁委员会仲裁；</w:t>
      </w:r>
    </w:p>
    <w:p w14:paraId="63D4826A">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2.依法向甲方住所在地人民法院提起诉讼。</w:t>
      </w:r>
    </w:p>
    <w:p w14:paraId="77317330">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十</w:t>
      </w:r>
      <w:r>
        <w:rPr>
          <w:rFonts w:hint="eastAsia" w:ascii="宋体" w:hAnsi="宋体" w:cs="Times New Roman"/>
          <w:b/>
          <w:color w:val="auto"/>
          <w:sz w:val="24"/>
          <w:highlight w:val="none"/>
          <w:lang w:val="en-US" w:eastAsia="zh-CN"/>
        </w:rPr>
        <w:t>一</w:t>
      </w:r>
      <w:r>
        <w:rPr>
          <w:rFonts w:hint="eastAsia" w:ascii="宋体" w:hAnsi="宋体" w:eastAsia="宋体" w:cs="Times New Roman"/>
          <w:b/>
          <w:color w:val="auto"/>
          <w:sz w:val="24"/>
          <w:highlight w:val="none"/>
        </w:rPr>
        <w:t>、通知条款</w:t>
      </w:r>
    </w:p>
    <w:p w14:paraId="2C809EB1">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双方就本合同中涉及各类通知、合同等文件以及就合同发生纠纷时相关文件和法律文书送达时的送达地址及法律后果作如下约定：</w:t>
      </w:r>
    </w:p>
    <w:p w14:paraId="4855AD88">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1、双方确认其有效送达地址为合同尾部处填写地址。</w:t>
      </w:r>
    </w:p>
    <w:p w14:paraId="058F3D18">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2、双方该送达地址适用范围包括双方非诉时各类通知、合同等文件以及就合同发生纠纷时相关文件和法律文书的送达，同时包括在争议进入仲裁程序、民事诉讼程序后的一审、二审、再审和执行程序。</w:t>
      </w:r>
    </w:p>
    <w:p w14:paraId="6F2FAD19">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3、任何一方地址变更，应于变更之日起五日内书面通知对方，否则原送达地址仍视为有效送达地址。即使任何一方未能收到邮寄送达的文书，由于其在合同中的约定，也应当视为送达。</w:t>
      </w:r>
    </w:p>
    <w:p w14:paraId="6F9F2661">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rPr>
        <w:t>十</w:t>
      </w:r>
      <w:r>
        <w:rPr>
          <w:rFonts w:hint="eastAsia" w:ascii="宋体" w:hAnsi="宋体"/>
          <w:b/>
          <w:color w:val="auto"/>
          <w:sz w:val="24"/>
          <w:highlight w:val="none"/>
          <w:lang w:val="en-US" w:eastAsia="zh-CN"/>
        </w:rPr>
        <w:t>二</w:t>
      </w:r>
      <w:r>
        <w:rPr>
          <w:rFonts w:hint="eastAsia" w:ascii="宋体" w:hAnsi="宋体"/>
          <w:b/>
          <w:color w:val="auto"/>
          <w:sz w:val="24"/>
          <w:highlight w:val="none"/>
        </w:rPr>
        <w:t>、合同生效及其它</w:t>
      </w:r>
    </w:p>
    <w:p w14:paraId="5A8B79B1">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（一）合同经双方法定代表人或授权委托代理人签章并加盖单位公章</w:t>
      </w:r>
      <w:r>
        <w:rPr>
          <w:rFonts w:hint="default" w:ascii="宋体" w:hAnsi="宋体"/>
          <w:color w:val="auto"/>
          <w:sz w:val="24"/>
          <w:highlight w:val="none"/>
          <w:lang w:val="en-US"/>
        </w:rPr>
        <w:t>后</w:t>
      </w:r>
      <w:r>
        <w:rPr>
          <w:rFonts w:hint="eastAsia" w:ascii="宋体" w:hAnsi="宋体"/>
          <w:color w:val="auto"/>
          <w:sz w:val="24"/>
          <w:highlight w:val="none"/>
        </w:rPr>
        <w:t>生效。</w:t>
      </w:r>
    </w:p>
    <w:p w14:paraId="1B37BFBA">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（二）下述合同附件为本合同不可分割的部分并与本合同具有同等效力：</w:t>
      </w:r>
    </w:p>
    <w:p w14:paraId="055A5272">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1.考核细则</w:t>
      </w:r>
    </w:p>
    <w:p w14:paraId="17D860F6">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2.其他与本合同相关的单据</w:t>
      </w:r>
    </w:p>
    <w:p w14:paraId="4233ED94">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3.本合同适用的特殊条款</w:t>
      </w:r>
    </w:p>
    <w:p w14:paraId="48A9EADF">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（三）本合同未尽事宜，遵照《中华人民共和国民法典》有关条文执行。</w:t>
      </w:r>
    </w:p>
    <w:p w14:paraId="3E8331B7">
      <w:pPr>
        <w:keepNext w:val="0"/>
        <w:keepLines w:val="0"/>
        <w:pageBreakBefore w:val="0"/>
        <w:shd w:val="clear" w:color="auto"/>
        <w:kinsoku/>
        <w:wordWrap/>
        <w:overflowPunct/>
        <w:topLinePunct w:val="0"/>
        <w:autoSpaceDE/>
        <w:autoSpaceDN/>
        <w:bidi w:val="0"/>
        <w:adjustRightInd w:val="0"/>
        <w:snapToGrid w:val="0"/>
        <w:spacing w:line="360" w:lineRule="auto"/>
        <w:ind w:left="0" w:leftChars="0" w:right="0" w:rightChars="0" w:firstLine="480" w:firstLineChars="200"/>
        <w:rPr>
          <w:rFonts w:ascii="宋体" w:hAnsi="宋体"/>
          <w:color w:val="auto"/>
          <w:sz w:val="24"/>
          <w:highlight w:val="none"/>
        </w:rPr>
      </w:pPr>
      <w:r>
        <w:rPr>
          <w:rFonts w:hint="eastAsia" w:ascii="宋体" w:hAnsi="宋体"/>
          <w:color w:val="auto"/>
          <w:sz w:val="24"/>
          <w:highlight w:val="none"/>
        </w:rPr>
        <w:t>（四）</w:t>
      </w:r>
      <w:r>
        <w:rPr>
          <w:color w:val="auto"/>
          <w:sz w:val="24"/>
          <w:highlight w:val="none"/>
        </w:rPr>
        <w:t>本合同一式</w:t>
      </w:r>
      <w:r>
        <w:rPr>
          <w:rFonts w:hint="eastAsia"/>
          <w:color w:val="auto"/>
          <w:sz w:val="24"/>
          <w:highlight w:val="none"/>
        </w:rPr>
        <w:t xml:space="preserve"> </w:t>
      </w:r>
      <w:r>
        <w:rPr>
          <w:rFonts w:hint="eastAsia"/>
          <w:color w:val="auto"/>
          <w:sz w:val="24"/>
          <w:highlight w:val="none"/>
          <w:u w:val="single"/>
        </w:rPr>
        <w:t xml:space="preserve">捌 </w:t>
      </w:r>
      <w:r>
        <w:rPr>
          <w:color w:val="auto"/>
          <w:sz w:val="24"/>
          <w:highlight w:val="none"/>
        </w:rPr>
        <w:t xml:space="preserve">份，甲方 </w:t>
      </w:r>
      <w:r>
        <w:rPr>
          <w:rFonts w:hint="eastAsia"/>
          <w:color w:val="auto"/>
          <w:sz w:val="24"/>
          <w:highlight w:val="none"/>
          <w:u w:val="single"/>
        </w:rPr>
        <w:t xml:space="preserve">肆 </w:t>
      </w:r>
      <w:r>
        <w:rPr>
          <w:color w:val="auto"/>
          <w:sz w:val="24"/>
          <w:highlight w:val="none"/>
        </w:rPr>
        <w:t xml:space="preserve">份，乙方 </w:t>
      </w:r>
      <w:r>
        <w:rPr>
          <w:rFonts w:hint="eastAsia"/>
          <w:color w:val="auto"/>
          <w:sz w:val="24"/>
          <w:highlight w:val="none"/>
          <w:u w:val="single"/>
        </w:rPr>
        <w:t>肆</w:t>
      </w:r>
      <w:r>
        <w:rPr>
          <w:color w:val="auto"/>
          <w:sz w:val="24"/>
          <w:highlight w:val="none"/>
        </w:rPr>
        <w:t>份</w:t>
      </w:r>
      <w:r>
        <w:rPr>
          <w:rFonts w:hint="eastAsia"/>
          <w:color w:val="auto"/>
          <w:sz w:val="24"/>
          <w:highlight w:val="none"/>
        </w:rPr>
        <w:t>，</w:t>
      </w:r>
      <w:r>
        <w:rPr>
          <w:color w:val="auto"/>
          <w:sz w:val="24"/>
          <w:highlight w:val="none"/>
        </w:rPr>
        <w:t>具有同等法律效力</w:t>
      </w:r>
      <w:r>
        <w:rPr>
          <w:rFonts w:hint="eastAsia" w:ascii="宋体" w:hAnsi="宋体"/>
          <w:color w:val="auto"/>
          <w:sz w:val="24"/>
          <w:highlight w:val="none"/>
        </w:rPr>
        <w:t>。</w:t>
      </w:r>
    </w:p>
    <w:p w14:paraId="4C447F0C">
      <w:pPr>
        <w:widowControl w:val="0"/>
        <w:shd w:val="clear"/>
        <w:spacing w:line="360" w:lineRule="auto"/>
        <w:ind w:firstLine="482" w:firstLineChars="200"/>
        <w:rPr>
          <w:rFonts w:hint="eastAsia" w:ascii="宋体" w:hAnsi="宋体" w:eastAsia="宋体" w:cs="Times New Roman"/>
          <w:b/>
          <w:color w:val="auto"/>
          <w:sz w:val="24"/>
          <w:highlight w:val="none"/>
        </w:rPr>
      </w:pPr>
    </w:p>
    <w:p w14:paraId="012C28F2">
      <w:pPr>
        <w:widowControl w:val="0"/>
        <w:shd w:val="clear"/>
        <w:spacing w:line="360" w:lineRule="auto"/>
        <w:rPr>
          <w:rFonts w:hint="eastAsia" w:ascii="宋体" w:hAnsi="宋体" w:eastAsia="宋体" w:cs="Times New Roman"/>
          <w:b/>
          <w:color w:val="auto"/>
          <w:sz w:val="24"/>
          <w:highlight w:val="none"/>
        </w:rPr>
      </w:pPr>
    </w:p>
    <w:p w14:paraId="7BD7A350">
      <w:pPr>
        <w:pStyle w:val="2"/>
        <w:shd w:val="clear"/>
        <w:rPr>
          <w:rFonts w:hint="eastAsia" w:ascii="宋体" w:hAnsi="宋体" w:eastAsia="宋体" w:cs="Times New Roman"/>
          <w:b/>
          <w:color w:val="auto"/>
          <w:sz w:val="24"/>
          <w:highlight w:val="none"/>
        </w:rPr>
      </w:pPr>
    </w:p>
    <w:p w14:paraId="72523785">
      <w:pPr>
        <w:shd w:val="clear"/>
        <w:rPr>
          <w:rFonts w:hint="eastAsia" w:ascii="宋体" w:hAnsi="宋体" w:eastAsia="宋体" w:cs="Times New Roman"/>
          <w:b/>
          <w:color w:val="auto"/>
          <w:sz w:val="24"/>
          <w:highlight w:val="none"/>
        </w:rPr>
      </w:pPr>
    </w:p>
    <w:p w14:paraId="0969A2C2">
      <w:pPr>
        <w:pStyle w:val="2"/>
        <w:shd w:val="clear"/>
        <w:rPr>
          <w:rFonts w:hint="eastAsia" w:ascii="宋体" w:hAnsi="宋体" w:eastAsia="宋体" w:cs="Times New Roman"/>
          <w:b/>
          <w:color w:val="auto"/>
          <w:sz w:val="24"/>
          <w:highlight w:val="none"/>
        </w:rPr>
      </w:pPr>
    </w:p>
    <w:p w14:paraId="6A74D6B3">
      <w:pPr>
        <w:shd w:val="clear"/>
        <w:rPr>
          <w:rFonts w:hint="eastAsia" w:ascii="宋体" w:hAnsi="宋体" w:eastAsia="宋体" w:cs="Times New Roman"/>
          <w:b/>
          <w:color w:val="auto"/>
          <w:sz w:val="24"/>
          <w:highlight w:val="none"/>
        </w:rPr>
      </w:pPr>
    </w:p>
    <w:p w14:paraId="7BBE933E">
      <w:pPr>
        <w:pStyle w:val="2"/>
        <w:shd w:val="clear"/>
        <w:rPr>
          <w:rFonts w:hint="eastAsia" w:ascii="宋体" w:hAnsi="宋体" w:eastAsia="宋体" w:cs="Times New Roman"/>
          <w:b/>
          <w:color w:val="auto"/>
          <w:sz w:val="24"/>
          <w:highlight w:val="none"/>
        </w:rPr>
      </w:pPr>
    </w:p>
    <w:p w14:paraId="1B712D0F">
      <w:pPr>
        <w:shd w:val="clear"/>
        <w:rPr>
          <w:rFonts w:hint="eastAsia" w:ascii="宋体" w:hAnsi="宋体" w:eastAsia="宋体" w:cs="Times New Roman"/>
          <w:b/>
          <w:color w:val="auto"/>
          <w:sz w:val="24"/>
          <w:highlight w:val="none"/>
        </w:rPr>
      </w:pPr>
    </w:p>
    <w:p w14:paraId="4D7EBEB9">
      <w:pPr>
        <w:pStyle w:val="2"/>
        <w:shd w:val="clear"/>
        <w:rPr>
          <w:rFonts w:hint="eastAsia" w:ascii="宋体" w:hAnsi="宋体" w:eastAsia="宋体" w:cs="Times New Roman"/>
          <w:b/>
          <w:color w:val="auto"/>
          <w:sz w:val="24"/>
          <w:highlight w:val="none"/>
        </w:rPr>
      </w:pPr>
    </w:p>
    <w:p w14:paraId="572D0246">
      <w:pPr>
        <w:shd w:val="clear"/>
        <w:rPr>
          <w:rFonts w:hint="eastAsia" w:ascii="宋体" w:hAnsi="宋体" w:eastAsia="宋体" w:cs="Times New Roman"/>
          <w:b/>
          <w:color w:val="auto"/>
          <w:sz w:val="24"/>
          <w:highlight w:val="none"/>
        </w:rPr>
      </w:pPr>
    </w:p>
    <w:p w14:paraId="25FBE0B9">
      <w:pPr>
        <w:pStyle w:val="2"/>
        <w:shd w:val="clear"/>
        <w:rPr>
          <w:rFonts w:hint="eastAsia" w:ascii="宋体" w:hAnsi="宋体" w:eastAsia="宋体" w:cs="Times New Roman"/>
          <w:b/>
          <w:color w:val="auto"/>
          <w:sz w:val="24"/>
          <w:highlight w:val="none"/>
        </w:rPr>
      </w:pPr>
    </w:p>
    <w:p w14:paraId="7765C2CC">
      <w:pPr>
        <w:shd w:val="clear"/>
        <w:rPr>
          <w:rFonts w:hint="eastAsia" w:ascii="宋体" w:hAnsi="宋体" w:eastAsia="宋体" w:cs="Times New Roman"/>
          <w:b/>
          <w:color w:val="auto"/>
          <w:sz w:val="24"/>
          <w:highlight w:val="none"/>
        </w:rPr>
      </w:pPr>
    </w:p>
    <w:p w14:paraId="7016F652">
      <w:pPr>
        <w:pStyle w:val="2"/>
        <w:shd w:val="clear"/>
        <w:rPr>
          <w:rFonts w:hint="eastAsia" w:ascii="宋体" w:hAnsi="宋体" w:eastAsia="宋体" w:cs="Times New Roman"/>
          <w:b/>
          <w:color w:val="auto"/>
          <w:sz w:val="24"/>
          <w:highlight w:val="none"/>
        </w:rPr>
      </w:pPr>
    </w:p>
    <w:p w14:paraId="6BCF63D1">
      <w:pPr>
        <w:shd w:val="clear"/>
        <w:rPr>
          <w:rFonts w:hint="eastAsia" w:ascii="宋体" w:hAnsi="宋体" w:eastAsia="宋体" w:cs="Times New Roman"/>
          <w:b/>
          <w:color w:val="auto"/>
          <w:sz w:val="24"/>
          <w:highlight w:val="none"/>
        </w:rPr>
      </w:pPr>
    </w:p>
    <w:p w14:paraId="464C6FEA">
      <w:pPr>
        <w:pStyle w:val="2"/>
        <w:shd w:val="clear"/>
        <w:rPr>
          <w:rFonts w:hint="eastAsia" w:ascii="宋体" w:hAnsi="宋体" w:eastAsia="宋体" w:cs="Times New Roman"/>
          <w:b/>
          <w:color w:val="auto"/>
          <w:sz w:val="24"/>
          <w:highlight w:val="none"/>
        </w:rPr>
      </w:pPr>
    </w:p>
    <w:p w14:paraId="43DE7564">
      <w:pPr>
        <w:shd w:val="clear"/>
        <w:rPr>
          <w:rFonts w:hint="eastAsia" w:ascii="宋体" w:hAnsi="宋体" w:eastAsia="宋体" w:cs="Times New Roman"/>
          <w:b/>
          <w:color w:val="auto"/>
          <w:sz w:val="24"/>
          <w:highlight w:val="none"/>
        </w:rPr>
      </w:pPr>
    </w:p>
    <w:p w14:paraId="0EE4D6E4">
      <w:pPr>
        <w:pStyle w:val="2"/>
        <w:shd w:val="clear"/>
        <w:rPr>
          <w:rFonts w:hint="eastAsia" w:ascii="宋体" w:hAnsi="宋体" w:eastAsia="宋体" w:cs="Times New Roman"/>
          <w:b/>
          <w:color w:val="auto"/>
          <w:sz w:val="24"/>
          <w:highlight w:val="none"/>
        </w:rPr>
      </w:pPr>
    </w:p>
    <w:p w14:paraId="6D6251EA">
      <w:pPr>
        <w:shd w:val="clear"/>
        <w:rPr>
          <w:rFonts w:hint="eastAsia"/>
          <w:highlight w:val="none"/>
        </w:rPr>
      </w:pPr>
    </w:p>
    <w:p w14:paraId="64A3E99E">
      <w:pPr>
        <w:widowControl w:val="0"/>
        <w:shd w:val="clear"/>
        <w:spacing w:line="360" w:lineRule="auto"/>
        <w:ind w:firstLine="482" w:firstLineChars="200"/>
        <w:rPr>
          <w:rFonts w:hint="eastAsia" w:ascii="宋体" w:hAnsi="宋体" w:eastAsia="宋体" w:cs="Times New Roman"/>
          <w:b/>
          <w:color w:val="auto"/>
          <w:sz w:val="24"/>
          <w:highlight w:val="none"/>
        </w:rPr>
      </w:pPr>
    </w:p>
    <w:p w14:paraId="28F96A4B">
      <w:pPr>
        <w:widowControl w:val="0"/>
        <w:shd w:val="clear"/>
        <w:spacing w:line="360" w:lineRule="auto"/>
        <w:ind w:firstLine="482" w:firstLineChars="200"/>
        <w:rPr>
          <w:rFonts w:hint="eastAsia" w:ascii="宋体" w:hAnsi="宋体" w:eastAsia="宋体" w:cs="Times New Roman"/>
          <w:b/>
          <w:color w:val="auto"/>
          <w:sz w:val="24"/>
          <w:highlight w:val="none"/>
        </w:rPr>
      </w:pPr>
    </w:p>
    <w:p w14:paraId="37014405">
      <w:pPr>
        <w:widowControl w:val="0"/>
        <w:shd w:val="clear"/>
        <w:spacing w:line="360" w:lineRule="auto"/>
        <w:ind w:firstLine="482" w:firstLineChars="200"/>
        <w:rPr>
          <w:rFonts w:hint="eastAsia" w:ascii="宋体" w:hAnsi="宋体" w:eastAsia="宋体" w:cs="Times New Roman"/>
          <w:b/>
          <w:color w:val="auto"/>
          <w:sz w:val="24"/>
          <w:highlight w:val="none"/>
        </w:rPr>
      </w:pPr>
    </w:p>
    <w:p w14:paraId="6DCECF5B">
      <w:pPr>
        <w:widowControl w:val="0"/>
        <w:shd w:val="clear"/>
        <w:spacing w:line="360" w:lineRule="auto"/>
        <w:ind w:firstLine="482" w:firstLineChars="200"/>
        <w:rPr>
          <w:rFonts w:hint="eastAsia" w:ascii="宋体" w:hAnsi="宋体" w:eastAsia="宋体" w:cs="Times New Roman"/>
          <w:b/>
          <w:color w:val="auto"/>
          <w:sz w:val="24"/>
          <w:highlight w:val="none"/>
        </w:rPr>
      </w:pPr>
    </w:p>
    <w:p w14:paraId="56CC93A2">
      <w:pPr>
        <w:widowControl w:val="0"/>
        <w:shd w:val="clear"/>
        <w:spacing w:line="360" w:lineRule="auto"/>
        <w:ind w:firstLine="482" w:firstLineChars="200"/>
        <w:rPr>
          <w:rFonts w:hint="eastAsia" w:ascii="宋体" w:hAnsi="宋体" w:eastAsia="宋体" w:cs="Times New Roman"/>
          <w:b/>
          <w:color w:val="auto"/>
          <w:sz w:val="24"/>
          <w:highlight w:val="none"/>
        </w:rPr>
      </w:pPr>
    </w:p>
    <w:p w14:paraId="6B6E5016">
      <w:pPr>
        <w:widowControl w:val="0"/>
        <w:shd w:val="clear"/>
        <w:spacing w:line="360" w:lineRule="auto"/>
        <w:ind w:firstLine="482" w:firstLineChars="200"/>
        <w:rPr>
          <w:color w:val="auto"/>
          <w:highlight w:val="none"/>
        </w:rPr>
      </w:pPr>
      <w:r>
        <w:rPr>
          <w:rFonts w:hint="eastAsia" w:ascii="宋体" w:hAnsi="宋体" w:eastAsia="宋体" w:cs="Times New Roman"/>
          <w:b/>
          <w:color w:val="auto"/>
          <w:sz w:val="24"/>
          <w:highlight w:val="none"/>
        </w:rPr>
        <w:t>（以下无正文）</w:t>
      </w:r>
    </w:p>
    <w:p w14:paraId="0B87E824">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甲方（盖章）：</w:t>
      </w:r>
      <w:r>
        <w:rPr>
          <w:rFonts w:hint="eastAsia" w:ascii="宋体" w:hAnsi="宋体" w:cs="宋体"/>
          <w:color w:val="auto"/>
          <w:kern w:val="0"/>
          <w:sz w:val="24"/>
          <w:highlight w:val="none"/>
        </w:rPr>
        <w:t xml:space="preserve">                     </w:t>
      </w:r>
      <w:r>
        <w:rPr>
          <w:rFonts w:hint="eastAsia" w:ascii="宋体" w:hAnsi="宋体"/>
          <w:color w:val="auto"/>
          <w:sz w:val="24"/>
          <w:highlight w:val="none"/>
        </w:rPr>
        <w:t>乙方（盖章）：</w:t>
      </w:r>
    </w:p>
    <w:p w14:paraId="357C1219">
      <w:pPr>
        <w:pStyle w:val="2"/>
        <w:keepNext w:val="0"/>
        <w:keepLines w:val="0"/>
        <w:pageBreakBefore w:val="0"/>
        <w:shd w:val="clear"/>
        <w:kinsoku/>
        <w:wordWrap/>
        <w:overflowPunct/>
        <w:topLinePunct w:val="0"/>
        <w:bidi w:val="0"/>
        <w:adjustRightInd w:val="0"/>
        <w:snapToGrid w:val="0"/>
        <w:spacing w:line="360" w:lineRule="auto"/>
        <w:ind w:left="0" w:leftChars="0" w:right="0" w:rightChars="0" w:firstLine="580" w:firstLineChars="200"/>
        <w:rPr>
          <w:color w:val="auto"/>
          <w:highlight w:val="none"/>
        </w:rPr>
      </w:pPr>
    </w:p>
    <w:p w14:paraId="0F87431C">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法定代表人（签章）：               法定代表人（签章）：</w:t>
      </w:r>
    </w:p>
    <w:p w14:paraId="726D2E0B">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p>
    <w:p w14:paraId="4CA108C7">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授权代表（签字）：                 授权代表（签字）：</w:t>
      </w:r>
    </w:p>
    <w:p w14:paraId="42946386">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color w:val="auto"/>
          <w:highlight w:val="none"/>
        </w:rPr>
      </w:pPr>
    </w:p>
    <w:p w14:paraId="5E380C39">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r>
        <w:rPr>
          <w:rFonts w:hint="eastAsia"/>
          <w:color w:val="auto"/>
          <w:highlight w:val="none"/>
        </w:rPr>
        <w:t>地址：</w:t>
      </w:r>
      <w:r>
        <w:rPr>
          <w:rFonts w:hint="eastAsia"/>
          <w:color w:val="auto"/>
          <w:highlight w:val="none"/>
          <w:lang w:val="en-US" w:eastAsia="zh-CN"/>
        </w:rPr>
        <w:t xml:space="preserve">                          </w:t>
      </w:r>
      <w:r>
        <w:rPr>
          <w:rFonts w:hint="eastAsia"/>
          <w:color w:val="auto"/>
          <w:highlight w:val="none"/>
        </w:rPr>
        <w:t xml:space="preserve">   地址：</w:t>
      </w:r>
    </w:p>
    <w:p w14:paraId="246B17C6">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p>
    <w:p w14:paraId="26FAD231">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p>
    <w:p w14:paraId="77F0F583">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电话：</w:t>
      </w:r>
      <w:r>
        <w:rPr>
          <w:rFonts w:hint="eastAsia" w:ascii="宋体" w:hAnsi="宋体"/>
          <w:color w:val="auto"/>
          <w:sz w:val="24"/>
          <w:highlight w:val="none"/>
          <w:lang w:val="en-US" w:eastAsia="zh-CN"/>
        </w:rPr>
        <w:t xml:space="preserve">                 </w:t>
      </w:r>
      <w:r>
        <w:rPr>
          <w:rFonts w:hint="eastAsia" w:ascii="宋体" w:hAnsi="宋体"/>
          <w:color w:val="auto"/>
          <w:sz w:val="24"/>
          <w:highlight w:val="none"/>
        </w:rPr>
        <w:t xml:space="preserve">            电话：</w:t>
      </w:r>
    </w:p>
    <w:p w14:paraId="4F2BCF0E">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color w:val="auto"/>
          <w:highlight w:val="none"/>
        </w:rPr>
      </w:pPr>
    </w:p>
    <w:p w14:paraId="7908D707">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r>
        <w:rPr>
          <w:rFonts w:hint="eastAsia"/>
          <w:color w:val="auto"/>
          <w:highlight w:val="none"/>
        </w:rPr>
        <w:t>传真：</w:t>
      </w:r>
      <w:r>
        <w:rPr>
          <w:rFonts w:hint="eastAsia"/>
          <w:color w:val="auto"/>
          <w:highlight w:val="none"/>
          <w:lang w:val="en-US" w:eastAsia="zh-CN"/>
        </w:rPr>
        <w:t xml:space="preserve">            </w:t>
      </w:r>
      <w:r>
        <w:rPr>
          <w:rFonts w:hint="eastAsia"/>
          <w:color w:val="auto"/>
          <w:highlight w:val="none"/>
        </w:rPr>
        <w:t xml:space="preserve">                传真：</w:t>
      </w:r>
    </w:p>
    <w:p w14:paraId="794A2C93">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p>
    <w:p w14:paraId="37C391C0">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color w:val="auto"/>
          <w:highlight w:val="none"/>
        </w:rPr>
      </w:pPr>
      <w:r>
        <w:rPr>
          <w:rFonts w:hint="eastAsia"/>
          <w:color w:val="auto"/>
          <w:highlight w:val="none"/>
        </w:rPr>
        <w:t>开户银行：</w:t>
      </w:r>
      <w:r>
        <w:rPr>
          <w:rFonts w:hint="eastAsia"/>
          <w:color w:val="auto"/>
          <w:highlight w:val="none"/>
          <w:lang w:val="en-US" w:eastAsia="zh-CN"/>
        </w:rPr>
        <w:t xml:space="preserve">                    </w:t>
      </w:r>
      <w:r>
        <w:rPr>
          <w:rFonts w:hint="eastAsia"/>
          <w:color w:val="auto"/>
          <w:highlight w:val="none"/>
        </w:rPr>
        <w:t xml:space="preserve">    开户银行：</w:t>
      </w:r>
    </w:p>
    <w:p w14:paraId="69E97406">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color w:val="auto"/>
          <w:highlight w:val="none"/>
        </w:rPr>
      </w:pPr>
    </w:p>
    <w:p w14:paraId="67DF2A20">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r>
        <w:rPr>
          <w:rFonts w:hint="eastAsia"/>
          <w:color w:val="auto"/>
          <w:highlight w:val="none"/>
        </w:rPr>
        <w:t>账号：</w:t>
      </w:r>
      <w:r>
        <w:rPr>
          <w:rFonts w:hint="eastAsia"/>
          <w:color w:val="auto"/>
          <w:highlight w:val="none"/>
          <w:lang w:val="en-US" w:eastAsia="zh-CN"/>
        </w:rPr>
        <w:t xml:space="preserve">               </w:t>
      </w:r>
      <w:r>
        <w:rPr>
          <w:rFonts w:hint="eastAsia"/>
          <w:color w:val="auto"/>
          <w:highlight w:val="none"/>
        </w:rPr>
        <w:t xml:space="preserve">                 账号：</w:t>
      </w:r>
    </w:p>
    <w:p w14:paraId="58659D29">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p>
    <w:p w14:paraId="50CB94B2">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color w:val="auto"/>
          <w:highlight w:val="none"/>
        </w:rPr>
      </w:pPr>
      <w:r>
        <w:rPr>
          <w:rFonts w:hint="eastAsia"/>
          <w:color w:val="auto"/>
          <w:highlight w:val="none"/>
        </w:rPr>
        <w:t>税号：</w:t>
      </w:r>
      <w:r>
        <w:rPr>
          <w:rFonts w:hint="eastAsia"/>
          <w:color w:val="auto"/>
          <w:highlight w:val="none"/>
          <w:lang w:val="en-US" w:eastAsia="zh-CN"/>
        </w:rPr>
        <w:t xml:space="preserve">                   </w:t>
      </w:r>
      <w:r>
        <w:rPr>
          <w:rFonts w:hint="eastAsia"/>
          <w:color w:val="auto"/>
          <w:highlight w:val="none"/>
        </w:rPr>
        <w:t xml:space="preserve">            税号：</w:t>
      </w:r>
    </w:p>
    <w:p w14:paraId="25B17EC5">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ascii="宋体" w:hAnsi="宋体"/>
          <w:color w:val="auto"/>
          <w:sz w:val="24"/>
          <w:highlight w:val="none"/>
        </w:rPr>
      </w:pPr>
    </w:p>
    <w:p w14:paraId="377D1C7C">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ascii="宋体" w:hAnsi="宋体" w:cs="宋体"/>
          <w:color w:val="auto"/>
          <w:sz w:val="24"/>
          <w:szCs w:val="28"/>
          <w:highlight w:val="none"/>
        </w:rPr>
      </w:pPr>
      <w:r>
        <w:rPr>
          <w:rFonts w:hint="eastAsia" w:ascii="宋体" w:hAnsi="宋体"/>
          <w:color w:val="auto"/>
          <w:sz w:val="24"/>
          <w:highlight w:val="none"/>
        </w:rPr>
        <w:t xml:space="preserve">签订日期：      </w:t>
      </w:r>
    </w:p>
    <w:p w14:paraId="0112F7A4">
      <w:pPr>
        <w:keepNext w:val="0"/>
        <w:keepLines w:val="0"/>
        <w:pageBreakBefore w:val="0"/>
        <w:shd w:val="clear"/>
        <w:kinsoku/>
        <w:wordWrap/>
        <w:overflowPunct/>
        <w:topLinePunct w:val="0"/>
        <w:autoSpaceDN/>
        <w:bidi w:val="0"/>
        <w:adjustRightInd w:val="0"/>
        <w:snapToGrid w:val="0"/>
        <w:spacing w:line="240" w:lineRule="auto"/>
        <w:ind w:left="0" w:leftChars="0" w:right="0" w:rightChars="0" w:firstLine="0" w:firstLineChars="0"/>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szCs w:val="24"/>
          <w:highlight w:val="none"/>
          <w:lang w:val="en-US" w:eastAsia="zh-CN"/>
        </w:rPr>
        <w:br w:type="page"/>
      </w:r>
      <w:r>
        <w:rPr>
          <w:rFonts w:hint="eastAsia" w:ascii="宋体" w:hAnsi="宋体" w:cs="宋体"/>
          <w:b/>
          <w:bCs/>
          <w:color w:val="auto"/>
          <w:sz w:val="24"/>
          <w:highlight w:val="none"/>
        </w:rPr>
        <w:t>附件1：</w:t>
      </w:r>
    </w:p>
    <w:p w14:paraId="35802962">
      <w:pPr>
        <w:keepNext w:val="0"/>
        <w:keepLines w:val="0"/>
        <w:pageBreakBefore w:val="0"/>
        <w:widowControl/>
        <w:shd w:val="clear"/>
        <w:kinsoku/>
        <w:wordWrap/>
        <w:overflowPunct/>
        <w:topLinePunct w:val="0"/>
        <w:autoSpaceDE w:val="0"/>
        <w:autoSpaceDN/>
        <w:bidi w:val="0"/>
        <w:adjustRightInd w:val="0"/>
        <w:snapToGrid w:val="0"/>
        <w:spacing w:line="240" w:lineRule="auto"/>
        <w:ind w:left="0" w:leftChars="0" w:right="0" w:rightChars="0" w:firstLine="0" w:firstLineChars="0"/>
        <w:jc w:val="both"/>
        <w:textAlignment w:val="baseline"/>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东港商务区202</w:t>
      </w:r>
      <w:r>
        <w:rPr>
          <w:rFonts w:hint="eastAsia" w:ascii="宋体" w:hAnsi="宋体" w:eastAsia="宋体" w:cs="宋体"/>
          <w:b/>
          <w:bCs/>
          <w:color w:val="auto"/>
          <w:sz w:val="32"/>
          <w:szCs w:val="32"/>
          <w:highlight w:val="none"/>
          <w:lang w:val="en-US" w:eastAsia="zh-CN"/>
        </w:rPr>
        <w:t>5</w:t>
      </w:r>
      <w:r>
        <w:rPr>
          <w:rFonts w:hint="eastAsia" w:ascii="宋体" w:hAnsi="宋体" w:eastAsia="宋体" w:cs="宋体"/>
          <w:b/>
          <w:bCs/>
          <w:color w:val="auto"/>
          <w:sz w:val="32"/>
          <w:szCs w:val="32"/>
          <w:highlight w:val="none"/>
          <w:lang w:eastAsia="zh-CN"/>
        </w:rPr>
        <w:t>年灯光音乐喷泉运行维护项目工作量</w:t>
      </w:r>
      <w:r>
        <w:rPr>
          <w:rFonts w:hint="eastAsia" w:ascii="宋体" w:hAnsi="宋体" w:cs="宋体"/>
          <w:b/>
          <w:bCs/>
          <w:color w:val="auto"/>
          <w:sz w:val="32"/>
          <w:szCs w:val="32"/>
          <w:highlight w:val="none"/>
          <w:lang w:val="en-US" w:eastAsia="zh-CN"/>
        </w:rPr>
        <w:t>及报价</w:t>
      </w:r>
    </w:p>
    <w:tbl>
      <w:tblPr>
        <w:tblStyle w:val="17"/>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6"/>
        <w:gridCol w:w="1224"/>
        <w:gridCol w:w="3600"/>
        <w:gridCol w:w="585"/>
        <w:gridCol w:w="670"/>
        <w:gridCol w:w="1023"/>
        <w:gridCol w:w="1223"/>
      </w:tblGrid>
      <w:tr w14:paraId="6178E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323" w:type="pct"/>
            <w:noWrap w:val="0"/>
            <w:vAlign w:val="center"/>
          </w:tcPr>
          <w:p w14:paraId="0BC4CED6">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687" w:type="pct"/>
            <w:noWrap w:val="0"/>
            <w:vAlign w:val="center"/>
          </w:tcPr>
          <w:p w14:paraId="5F784B35">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2022" w:type="pct"/>
            <w:noWrap w:val="0"/>
            <w:vAlign w:val="center"/>
          </w:tcPr>
          <w:p w14:paraId="44F94796">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项目特征描述</w:t>
            </w:r>
          </w:p>
        </w:tc>
        <w:tc>
          <w:tcPr>
            <w:tcW w:w="328" w:type="pct"/>
            <w:noWrap w:val="0"/>
            <w:vAlign w:val="center"/>
          </w:tcPr>
          <w:p w14:paraId="0EBC9F53">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376" w:type="pct"/>
            <w:tcBorders>
              <w:right w:val="single" w:color="auto" w:sz="4" w:space="0"/>
            </w:tcBorders>
            <w:noWrap w:val="0"/>
            <w:vAlign w:val="center"/>
          </w:tcPr>
          <w:p w14:paraId="32B7FC16">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w:t>
            </w:r>
          </w:p>
        </w:tc>
        <w:tc>
          <w:tcPr>
            <w:tcW w:w="574" w:type="pct"/>
            <w:tcBorders>
              <w:left w:val="single" w:color="auto" w:sz="4" w:space="0"/>
              <w:right w:val="single" w:color="auto" w:sz="4" w:space="0"/>
            </w:tcBorders>
            <w:noWrap w:val="0"/>
            <w:vAlign w:val="center"/>
          </w:tcPr>
          <w:p w14:paraId="0FA539B8">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综合单价</w:t>
            </w:r>
            <w:r>
              <w:rPr>
                <w:rFonts w:hint="eastAsia" w:ascii="宋体" w:hAnsi="宋体" w:cs="宋体"/>
                <w:color w:val="auto"/>
                <w:sz w:val="21"/>
                <w:szCs w:val="21"/>
                <w:highlight w:val="none"/>
                <w:lang w:val="en-US" w:eastAsia="zh-CN"/>
              </w:rPr>
              <w:t>(元)</w:t>
            </w:r>
          </w:p>
        </w:tc>
        <w:tc>
          <w:tcPr>
            <w:tcW w:w="687" w:type="pct"/>
            <w:tcBorders>
              <w:left w:val="single" w:color="auto" w:sz="4" w:space="0"/>
            </w:tcBorders>
            <w:noWrap w:val="0"/>
            <w:vAlign w:val="center"/>
          </w:tcPr>
          <w:p w14:paraId="5FE38184">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5573A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7"/>
            <w:noWrap w:val="0"/>
            <w:vAlign w:val="center"/>
          </w:tcPr>
          <w:p w14:paraId="730FDFA8">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left"/>
              <w:textAlignment w:val="baseline"/>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一、日常喷放及巡检保养</w:t>
            </w:r>
          </w:p>
        </w:tc>
      </w:tr>
      <w:tr w14:paraId="45E44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687FB0B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687" w:type="pct"/>
            <w:noWrap w:val="0"/>
            <w:vAlign w:val="center"/>
          </w:tcPr>
          <w:p w14:paraId="17A7D63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操作人员工资</w:t>
            </w:r>
          </w:p>
        </w:tc>
        <w:tc>
          <w:tcPr>
            <w:tcW w:w="2022" w:type="pct"/>
            <w:noWrap w:val="0"/>
            <w:vAlign w:val="center"/>
          </w:tcPr>
          <w:p w14:paraId="4FF50CD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操作人员工日计算。每年5月1日至10月30日，每个人共计184个工日，2个人共368工日。</w:t>
            </w:r>
          </w:p>
        </w:tc>
        <w:tc>
          <w:tcPr>
            <w:tcW w:w="328" w:type="pct"/>
            <w:noWrap w:val="0"/>
            <w:vAlign w:val="center"/>
          </w:tcPr>
          <w:p w14:paraId="31B03F7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工日</w:t>
            </w:r>
          </w:p>
        </w:tc>
        <w:tc>
          <w:tcPr>
            <w:tcW w:w="376" w:type="pct"/>
            <w:tcBorders>
              <w:right w:val="single" w:color="auto" w:sz="4" w:space="0"/>
            </w:tcBorders>
            <w:noWrap w:val="0"/>
            <w:vAlign w:val="center"/>
          </w:tcPr>
          <w:p w14:paraId="6DF5D1D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368</w:t>
            </w:r>
          </w:p>
        </w:tc>
        <w:tc>
          <w:tcPr>
            <w:tcW w:w="574" w:type="pct"/>
            <w:tcBorders>
              <w:left w:val="single" w:color="auto" w:sz="4" w:space="0"/>
              <w:right w:val="single" w:color="auto" w:sz="4" w:space="0"/>
            </w:tcBorders>
            <w:noWrap w:val="0"/>
            <w:vAlign w:val="center"/>
          </w:tcPr>
          <w:p w14:paraId="499B1A9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tcBorders>
              <w:left w:val="single" w:color="auto" w:sz="4" w:space="0"/>
            </w:tcBorders>
            <w:noWrap w:val="0"/>
            <w:vAlign w:val="center"/>
          </w:tcPr>
          <w:p w14:paraId="3A55854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A30D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763C162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87" w:type="pct"/>
            <w:noWrap w:val="0"/>
            <w:vAlign w:val="center"/>
          </w:tcPr>
          <w:p w14:paraId="3DF53F2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节假日及接待活动保障人员工资</w:t>
            </w:r>
          </w:p>
        </w:tc>
        <w:tc>
          <w:tcPr>
            <w:tcW w:w="2022" w:type="pct"/>
            <w:noWrap w:val="0"/>
            <w:vAlign w:val="center"/>
          </w:tcPr>
          <w:p w14:paraId="4474FFC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劳动节（3天）、国庆节（7天）等国家相关节日以及接待活动（每月2次）等，保障人员工资；（保障人员不低于2人）</w:t>
            </w:r>
          </w:p>
        </w:tc>
        <w:tc>
          <w:tcPr>
            <w:tcW w:w="328" w:type="pct"/>
            <w:noWrap w:val="0"/>
            <w:vAlign w:val="center"/>
          </w:tcPr>
          <w:p w14:paraId="4B2C6C1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工日</w:t>
            </w:r>
          </w:p>
        </w:tc>
        <w:tc>
          <w:tcPr>
            <w:tcW w:w="376" w:type="pct"/>
            <w:noWrap w:val="0"/>
            <w:vAlign w:val="center"/>
          </w:tcPr>
          <w:p w14:paraId="4018DB7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44</w:t>
            </w:r>
          </w:p>
        </w:tc>
        <w:tc>
          <w:tcPr>
            <w:tcW w:w="574" w:type="pct"/>
            <w:noWrap w:val="0"/>
            <w:vAlign w:val="center"/>
          </w:tcPr>
          <w:p w14:paraId="7531E88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29B719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2499F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786261A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687" w:type="pct"/>
            <w:noWrap w:val="0"/>
            <w:vAlign w:val="center"/>
          </w:tcPr>
          <w:p w14:paraId="5766C7F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一维数控DN65养护</w:t>
            </w:r>
          </w:p>
        </w:tc>
        <w:tc>
          <w:tcPr>
            <w:tcW w:w="2022" w:type="pct"/>
            <w:noWrap w:val="0"/>
            <w:vAlign w:val="center"/>
          </w:tcPr>
          <w:p w14:paraId="3D13571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一维数控DN65养护包含：</w:t>
            </w:r>
          </w:p>
          <w:p w14:paraId="06052C1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1.每天一次一维数控检查、调试（线路、电机、角度等检查及调试）</w:t>
            </w:r>
          </w:p>
          <w:p w14:paraId="6CF605A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2.每月一次大检查（检查机组有无损失、紧固件有无松动、电缆有无损伤）</w:t>
            </w:r>
          </w:p>
        </w:tc>
        <w:tc>
          <w:tcPr>
            <w:tcW w:w="328" w:type="pct"/>
            <w:noWrap w:val="0"/>
            <w:vAlign w:val="center"/>
          </w:tcPr>
          <w:p w14:paraId="55B7E09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26BCF3A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315</w:t>
            </w:r>
          </w:p>
        </w:tc>
        <w:tc>
          <w:tcPr>
            <w:tcW w:w="574" w:type="pct"/>
            <w:noWrap w:val="0"/>
            <w:vAlign w:val="center"/>
          </w:tcPr>
          <w:p w14:paraId="6C06E27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3591F2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6E1B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3B289E9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687" w:type="pct"/>
            <w:noWrap w:val="0"/>
            <w:vAlign w:val="center"/>
          </w:tcPr>
          <w:p w14:paraId="6E3BE9F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驱动器养护</w:t>
            </w:r>
          </w:p>
        </w:tc>
        <w:tc>
          <w:tcPr>
            <w:tcW w:w="2022" w:type="pct"/>
            <w:noWrap w:val="0"/>
            <w:vAlign w:val="center"/>
          </w:tcPr>
          <w:p w14:paraId="780810F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驱动器养护包含：</w:t>
            </w:r>
          </w:p>
          <w:p w14:paraId="709EC87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1.每天一次驱动器检查、调试（线路、驱动器信号、复位等检查及调试）</w:t>
            </w:r>
          </w:p>
          <w:p w14:paraId="7967D01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2.每月一次大检查（检查驱动器有无损失、接头有无松动、电缆有无损伤）</w:t>
            </w:r>
          </w:p>
        </w:tc>
        <w:tc>
          <w:tcPr>
            <w:tcW w:w="328" w:type="pct"/>
            <w:noWrap w:val="0"/>
            <w:vAlign w:val="center"/>
          </w:tcPr>
          <w:p w14:paraId="53496E4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1ED1948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315</w:t>
            </w:r>
          </w:p>
        </w:tc>
        <w:tc>
          <w:tcPr>
            <w:tcW w:w="574" w:type="pct"/>
            <w:noWrap w:val="0"/>
            <w:vAlign w:val="center"/>
          </w:tcPr>
          <w:p w14:paraId="03D46A6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0FC54C1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264EE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5A8C85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687" w:type="pct"/>
            <w:noWrap w:val="0"/>
            <w:vAlign w:val="center"/>
          </w:tcPr>
          <w:p w14:paraId="43084B9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气爆装置养护</w:t>
            </w:r>
          </w:p>
        </w:tc>
        <w:tc>
          <w:tcPr>
            <w:tcW w:w="2022" w:type="pct"/>
            <w:noWrap w:val="0"/>
            <w:vAlign w:val="center"/>
          </w:tcPr>
          <w:p w14:paraId="2B36AC6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气爆装置养护包含：</w:t>
            </w:r>
          </w:p>
          <w:p w14:paraId="428C089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1.每天一次管道压力检查测试；</w:t>
            </w:r>
          </w:p>
          <w:p w14:paraId="1EBAFDF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2.气爆装置检查；（检查</w:t>
            </w:r>
            <w:r>
              <w:rPr>
                <w:rFonts w:hint="eastAsia" w:ascii="宋体" w:hAnsi="宋体" w:cs="宋体"/>
                <w:i w:val="0"/>
                <w:iCs w:val="0"/>
                <w:color w:val="auto"/>
                <w:kern w:val="0"/>
                <w:sz w:val="20"/>
                <w:szCs w:val="20"/>
                <w:highlight w:val="none"/>
                <w:u w:val="none"/>
                <w:lang w:val="en-US" w:eastAsia="zh-CN" w:bidi="ar"/>
              </w:rPr>
              <w:t>气爆</w:t>
            </w:r>
            <w:r>
              <w:rPr>
                <w:rFonts w:hint="eastAsia" w:ascii="宋体" w:hAnsi="宋体" w:eastAsia="宋体" w:cs="宋体"/>
                <w:i w:val="0"/>
                <w:iCs w:val="0"/>
                <w:color w:val="auto"/>
                <w:kern w:val="0"/>
                <w:sz w:val="20"/>
                <w:szCs w:val="20"/>
                <w:highlight w:val="none"/>
                <w:u w:val="none"/>
                <w:lang w:val="en-US" w:eastAsia="zh-CN" w:bidi="ar"/>
              </w:rPr>
              <w:t>有无</w:t>
            </w:r>
            <w:r>
              <w:rPr>
                <w:rFonts w:hint="eastAsia" w:ascii="宋体" w:hAnsi="宋体" w:cs="宋体"/>
                <w:i w:val="0"/>
                <w:iCs w:val="0"/>
                <w:color w:val="auto"/>
                <w:kern w:val="0"/>
                <w:sz w:val="20"/>
                <w:szCs w:val="20"/>
                <w:highlight w:val="none"/>
                <w:u w:val="none"/>
                <w:lang w:val="en-US" w:eastAsia="zh-CN" w:bidi="ar"/>
              </w:rPr>
              <w:t>倾倒</w:t>
            </w:r>
            <w:r>
              <w:rPr>
                <w:rFonts w:hint="eastAsia" w:ascii="宋体" w:hAnsi="宋体" w:eastAsia="宋体" w:cs="宋体"/>
                <w:i w:val="0"/>
                <w:iCs w:val="0"/>
                <w:color w:val="auto"/>
                <w:kern w:val="0"/>
                <w:sz w:val="20"/>
                <w:szCs w:val="20"/>
                <w:highlight w:val="none"/>
                <w:u w:val="none"/>
                <w:lang w:val="en-US" w:eastAsia="zh-CN" w:bidi="ar"/>
              </w:rPr>
              <w:t>、有无松动、</w:t>
            </w:r>
            <w:r>
              <w:rPr>
                <w:rFonts w:hint="eastAsia" w:ascii="宋体" w:hAnsi="宋体" w:cs="宋体"/>
                <w:i w:val="0"/>
                <w:iCs w:val="0"/>
                <w:color w:val="auto"/>
                <w:kern w:val="0"/>
                <w:sz w:val="20"/>
                <w:szCs w:val="20"/>
                <w:highlight w:val="none"/>
                <w:u w:val="none"/>
                <w:lang w:val="en-US" w:eastAsia="zh-CN" w:bidi="ar"/>
              </w:rPr>
              <w:t>阀板偏心等情况</w:t>
            </w:r>
            <w:r>
              <w:rPr>
                <w:rFonts w:hint="eastAsia" w:ascii="宋体" w:hAnsi="宋体" w:eastAsia="宋体" w:cs="宋体"/>
                <w:i w:val="0"/>
                <w:iCs w:val="0"/>
                <w:color w:val="auto"/>
                <w:kern w:val="0"/>
                <w:sz w:val="20"/>
                <w:szCs w:val="20"/>
                <w:highlight w:val="none"/>
                <w:u w:val="none"/>
                <w:lang w:val="en-US" w:eastAsia="zh-CN" w:bidi="ar"/>
              </w:rPr>
              <w:t>）</w:t>
            </w:r>
          </w:p>
          <w:p w14:paraId="78EE5F9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3.气爆喷放是否垂直等检查；</w:t>
            </w:r>
          </w:p>
          <w:p w14:paraId="3CCE7AF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4.设备除锈、清理。</w:t>
            </w:r>
          </w:p>
        </w:tc>
        <w:tc>
          <w:tcPr>
            <w:tcW w:w="328" w:type="pct"/>
            <w:noWrap w:val="0"/>
            <w:vAlign w:val="center"/>
          </w:tcPr>
          <w:p w14:paraId="7483C27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15EB595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171</w:t>
            </w:r>
          </w:p>
        </w:tc>
        <w:tc>
          <w:tcPr>
            <w:tcW w:w="574" w:type="pct"/>
            <w:noWrap w:val="0"/>
            <w:vAlign w:val="center"/>
          </w:tcPr>
          <w:p w14:paraId="176CC99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3B68210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05DCB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7D293DB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w:t>
            </w:r>
          </w:p>
        </w:tc>
        <w:tc>
          <w:tcPr>
            <w:tcW w:w="687" w:type="pct"/>
            <w:noWrap w:val="0"/>
            <w:vAlign w:val="center"/>
          </w:tcPr>
          <w:p w14:paraId="6FF4277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阀门检查接线多通电磁阀</w:t>
            </w:r>
          </w:p>
        </w:tc>
        <w:tc>
          <w:tcPr>
            <w:tcW w:w="2022" w:type="pct"/>
            <w:noWrap w:val="0"/>
            <w:vAlign w:val="center"/>
          </w:tcPr>
          <w:p w14:paraId="48D1332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电磁阀养护包含：</w:t>
            </w:r>
          </w:p>
          <w:p w14:paraId="45E1BF2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1.每天一次检查（包含电磁阀开启是否正常，是否有泄露、电磁阀膜片是否有异常等情况）</w:t>
            </w:r>
            <w:r>
              <w:rPr>
                <w:rFonts w:hint="eastAsia" w:ascii="宋体" w:hAnsi="宋体" w:cs="宋体"/>
                <w:i w:val="0"/>
                <w:iCs w:val="0"/>
                <w:color w:val="auto"/>
                <w:kern w:val="0"/>
                <w:sz w:val="20"/>
                <w:szCs w:val="20"/>
                <w:highlight w:val="none"/>
                <w:u w:val="none"/>
                <w:lang w:val="en-US" w:eastAsia="zh-CN" w:bidi="ar"/>
              </w:rPr>
              <w:t>；</w:t>
            </w:r>
          </w:p>
          <w:p w14:paraId="3E7342F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2.每月一次大检查；</w:t>
            </w:r>
          </w:p>
        </w:tc>
        <w:tc>
          <w:tcPr>
            <w:tcW w:w="328" w:type="pct"/>
            <w:noWrap w:val="0"/>
            <w:vAlign w:val="center"/>
          </w:tcPr>
          <w:p w14:paraId="2711172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6D0066C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181</w:t>
            </w:r>
          </w:p>
        </w:tc>
        <w:tc>
          <w:tcPr>
            <w:tcW w:w="574" w:type="pct"/>
            <w:noWrap w:val="0"/>
            <w:vAlign w:val="center"/>
          </w:tcPr>
          <w:p w14:paraId="2B433B6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32281EA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1033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4C1CE2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w:t>
            </w:r>
          </w:p>
        </w:tc>
        <w:tc>
          <w:tcPr>
            <w:tcW w:w="687" w:type="pct"/>
            <w:noWrap w:val="0"/>
            <w:vAlign w:val="center"/>
          </w:tcPr>
          <w:p w14:paraId="2841F86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空压机保养</w:t>
            </w:r>
          </w:p>
        </w:tc>
        <w:tc>
          <w:tcPr>
            <w:tcW w:w="2022" w:type="pct"/>
            <w:noWrap w:val="0"/>
            <w:vAlign w:val="center"/>
          </w:tcPr>
          <w:p w14:paraId="2F7B92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空压机保养包含：</w:t>
            </w:r>
          </w:p>
          <w:p w14:paraId="79DAF8C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1.每天检查空压机是否已开启，是否达到工作压力；</w:t>
            </w:r>
          </w:p>
          <w:p w14:paraId="479074E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2.机器运作是否有异响，机油等消耗材料准备充实，及时保养；</w:t>
            </w:r>
          </w:p>
        </w:tc>
        <w:tc>
          <w:tcPr>
            <w:tcW w:w="328" w:type="pct"/>
            <w:noWrap w:val="0"/>
            <w:vAlign w:val="center"/>
          </w:tcPr>
          <w:p w14:paraId="3427973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32F166B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w:t>
            </w:r>
          </w:p>
        </w:tc>
        <w:tc>
          <w:tcPr>
            <w:tcW w:w="574" w:type="pct"/>
            <w:noWrap w:val="0"/>
            <w:vAlign w:val="center"/>
          </w:tcPr>
          <w:p w14:paraId="0C2C309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C28363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0035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40639B0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w:t>
            </w:r>
          </w:p>
        </w:tc>
        <w:tc>
          <w:tcPr>
            <w:tcW w:w="687" w:type="pct"/>
            <w:noWrap w:val="0"/>
            <w:vAlign w:val="center"/>
          </w:tcPr>
          <w:p w14:paraId="0A48072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水膜养护</w:t>
            </w:r>
          </w:p>
        </w:tc>
        <w:tc>
          <w:tcPr>
            <w:tcW w:w="2022" w:type="pct"/>
            <w:noWrap w:val="0"/>
            <w:vAlign w:val="center"/>
          </w:tcPr>
          <w:p w14:paraId="4B91286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水膜养护包含：</w:t>
            </w:r>
          </w:p>
          <w:p w14:paraId="2BE8240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1.水膜喷头进行调整；</w:t>
            </w:r>
          </w:p>
          <w:p w14:paraId="606311C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2.水膜喷头每周一次清理及调试；</w:t>
            </w:r>
          </w:p>
        </w:tc>
        <w:tc>
          <w:tcPr>
            <w:tcW w:w="328" w:type="pct"/>
            <w:noWrap w:val="0"/>
            <w:vAlign w:val="center"/>
          </w:tcPr>
          <w:p w14:paraId="682AA6A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376" w:type="pct"/>
            <w:noWrap w:val="0"/>
            <w:vAlign w:val="center"/>
          </w:tcPr>
          <w:p w14:paraId="5CF6D8D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74" w:type="pct"/>
            <w:noWrap w:val="0"/>
            <w:vAlign w:val="center"/>
          </w:tcPr>
          <w:p w14:paraId="322EFBD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7A27B54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7EFC4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7A5EA58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w:t>
            </w:r>
          </w:p>
        </w:tc>
        <w:tc>
          <w:tcPr>
            <w:tcW w:w="687" w:type="pct"/>
            <w:noWrap w:val="0"/>
            <w:vAlign w:val="center"/>
          </w:tcPr>
          <w:p w14:paraId="70964A1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水泵5.5KW养护</w:t>
            </w:r>
          </w:p>
        </w:tc>
        <w:tc>
          <w:tcPr>
            <w:tcW w:w="2022" w:type="pct"/>
            <w:noWrap w:val="0"/>
            <w:vAlign w:val="center"/>
          </w:tcPr>
          <w:p w14:paraId="1CA49E4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水泵5.5KW养护包含：1.日常喷泉检查；（进行启动检测，对锈死无法启动的的水泵采用敲打震荡、盘轴、电流冲击等方式对其进行恢复启动。)</w:t>
            </w:r>
          </w:p>
          <w:p w14:paraId="0CBC78B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5BE80D8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39B6724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454C38B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p w14:paraId="4241741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p>
        </w:tc>
        <w:tc>
          <w:tcPr>
            <w:tcW w:w="328" w:type="pct"/>
            <w:noWrap w:val="0"/>
            <w:vAlign w:val="center"/>
          </w:tcPr>
          <w:p w14:paraId="2C86D0B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106DD34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366</w:t>
            </w:r>
          </w:p>
        </w:tc>
        <w:tc>
          <w:tcPr>
            <w:tcW w:w="574" w:type="pct"/>
            <w:noWrap w:val="0"/>
            <w:vAlign w:val="center"/>
          </w:tcPr>
          <w:p w14:paraId="5B70BE2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0235B2F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13BFA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984B54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687" w:type="pct"/>
            <w:noWrap w:val="0"/>
            <w:vAlign w:val="center"/>
          </w:tcPr>
          <w:p w14:paraId="6622B7E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水泵3KW养护</w:t>
            </w:r>
          </w:p>
        </w:tc>
        <w:tc>
          <w:tcPr>
            <w:tcW w:w="2022" w:type="pct"/>
            <w:noWrap w:val="0"/>
            <w:vAlign w:val="center"/>
          </w:tcPr>
          <w:p w14:paraId="69E3F45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水泵3KW养护包含：</w:t>
            </w:r>
          </w:p>
          <w:p w14:paraId="736980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78348B6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21E85C2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391D929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014CD96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13CB604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06B6E6E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574" w:type="pct"/>
            <w:noWrap w:val="0"/>
            <w:vAlign w:val="center"/>
          </w:tcPr>
          <w:p w14:paraId="214DC2E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CAFC48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E977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3E515F8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11</w:t>
            </w:r>
          </w:p>
        </w:tc>
        <w:tc>
          <w:tcPr>
            <w:tcW w:w="687" w:type="pct"/>
            <w:noWrap w:val="0"/>
            <w:vAlign w:val="center"/>
          </w:tcPr>
          <w:p w14:paraId="5054E5B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水泵1.1KW养护</w:t>
            </w:r>
          </w:p>
        </w:tc>
        <w:tc>
          <w:tcPr>
            <w:tcW w:w="2022" w:type="pct"/>
            <w:noWrap w:val="0"/>
            <w:vAlign w:val="center"/>
          </w:tcPr>
          <w:p w14:paraId="741BD2F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水泵1.1KW养护包含：</w:t>
            </w:r>
          </w:p>
          <w:p w14:paraId="319068B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79A4AC9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56E329C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7E5DEAB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5AA4499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74CF69A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5657D76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74" w:type="pct"/>
            <w:noWrap w:val="0"/>
            <w:vAlign w:val="center"/>
          </w:tcPr>
          <w:p w14:paraId="2E37D63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6527F7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2E58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23DBF8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w:t>
            </w:r>
          </w:p>
        </w:tc>
        <w:tc>
          <w:tcPr>
            <w:tcW w:w="687" w:type="pct"/>
            <w:noWrap w:val="0"/>
            <w:vAlign w:val="center"/>
          </w:tcPr>
          <w:p w14:paraId="346252D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水泵37KW养护</w:t>
            </w:r>
          </w:p>
        </w:tc>
        <w:tc>
          <w:tcPr>
            <w:tcW w:w="2022" w:type="pct"/>
            <w:noWrap w:val="0"/>
            <w:vAlign w:val="center"/>
          </w:tcPr>
          <w:p w14:paraId="3B3FFA0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水泵37KW养护包含：</w:t>
            </w:r>
          </w:p>
          <w:p w14:paraId="23256D1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3BA2579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15C8F6E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0B42AFE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43698FE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5B1CA7E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094F09B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574" w:type="pct"/>
            <w:noWrap w:val="0"/>
            <w:vAlign w:val="center"/>
          </w:tcPr>
          <w:p w14:paraId="50093D6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6A9A42A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106A6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408B120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13</w:t>
            </w:r>
          </w:p>
        </w:tc>
        <w:tc>
          <w:tcPr>
            <w:tcW w:w="687" w:type="pct"/>
            <w:noWrap w:val="0"/>
            <w:vAlign w:val="center"/>
          </w:tcPr>
          <w:p w14:paraId="3AB222B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水泵55KW养护</w:t>
            </w:r>
          </w:p>
        </w:tc>
        <w:tc>
          <w:tcPr>
            <w:tcW w:w="2022" w:type="pct"/>
            <w:noWrap w:val="0"/>
            <w:vAlign w:val="center"/>
          </w:tcPr>
          <w:p w14:paraId="06D7987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水泵55KW养护包含：</w:t>
            </w:r>
          </w:p>
          <w:p w14:paraId="520BC32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794128D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2083DC7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7502091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10E7A6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09CBD67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2E01EF3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574" w:type="pct"/>
            <w:noWrap w:val="0"/>
            <w:vAlign w:val="center"/>
          </w:tcPr>
          <w:p w14:paraId="76A4040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3971ACB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6DD63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746A148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14</w:t>
            </w:r>
          </w:p>
        </w:tc>
        <w:tc>
          <w:tcPr>
            <w:tcW w:w="687" w:type="pct"/>
            <w:noWrap w:val="0"/>
            <w:vAlign w:val="center"/>
          </w:tcPr>
          <w:p w14:paraId="4073792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排污泵5.5KW养护</w:t>
            </w:r>
          </w:p>
        </w:tc>
        <w:tc>
          <w:tcPr>
            <w:tcW w:w="2022" w:type="pct"/>
            <w:noWrap w:val="0"/>
            <w:vAlign w:val="center"/>
          </w:tcPr>
          <w:p w14:paraId="56E4F26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排污泵5.5KW养护包含：</w:t>
            </w:r>
          </w:p>
          <w:p w14:paraId="19950D3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6ED954F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25B1A00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67C868F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75AF94B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665193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7E48A89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574" w:type="pct"/>
            <w:noWrap w:val="0"/>
            <w:vAlign w:val="center"/>
          </w:tcPr>
          <w:p w14:paraId="1241481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6B57805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7C276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2CAACD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687" w:type="pct"/>
            <w:noWrap w:val="0"/>
            <w:vAlign w:val="center"/>
          </w:tcPr>
          <w:p w14:paraId="6D8B861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导水泵5.5KW养护</w:t>
            </w:r>
          </w:p>
        </w:tc>
        <w:tc>
          <w:tcPr>
            <w:tcW w:w="2022" w:type="pct"/>
            <w:noWrap w:val="0"/>
            <w:vAlign w:val="center"/>
          </w:tcPr>
          <w:p w14:paraId="74D9981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导水泵5.5KW养护包含：</w:t>
            </w:r>
          </w:p>
          <w:p w14:paraId="6031A29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0592E8D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5713868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3D07C8E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2A232BF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349DCCE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4C64AF5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74" w:type="pct"/>
            <w:noWrap w:val="0"/>
            <w:vAlign w:val="center"/>
          </w:tcPr>
          <w:p w14:paraId="057E5E3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466642D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071E5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95D7A6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w:t>
            </w:r>
          </w:p>
        </w:tc>
        <w:tc>
          <w:tcPr>
            <w:tcW w:w="687" w:type="pct"/>
            <w:noWrap w:val="0"/>
            <w:vAlign w:val="center"/>
          </w:tcPr>
          <w:p w14:paraId="7E79C23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LED水下灯125W养护</w:t>
            </w:r>
          </w:p>
        </w:tc>
        <w:tc>
          <w:tcPr>
            <w:tcW w:w="2022" w:type="pct"/>
            <w:noWrap w:val="0"/>
            <w:vAlign w:val="center"/>
          </w:tcPr>
          <w:p w14:paraId="1E549B5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LED水下灯125W养护包含：</w:t>
            </w:r>
          </w:p>
          <w:p w14:paraId="0B2F212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1.每天检查水下灯灯光亮度及颜色是否正常，水下灯是否有缺色、不亮、坏点等状态；</w:t>
            </w:r>
          </w:p>
          <w:p w14:paraId="6CD7DCD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2.灯具表面清理；</w:t>
            </w:r>
          </w:p>
          <w:p w14:paraId="544034B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p w14:paraId="719469A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4.灯光变化与音乐节拍基本同步；</w:t>
            </w:r>
          </w:p>
          <w:p w14:paraId="57E70C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5.喷泉水下灯紧固松动的螺丝，避免灯体进水造成短路故障。</w:t>
            </w:r>
          </w:p>
        </w:tc>
        <w:tc>
          <w:tcPr>
            <w:tcW w:w="328" w:type="pct"/>
            <w:noWrap w:val="0"/>
            <w:vAlign w:val="center"/>
          </w:tcPr>
          <w:p w14:paraId="005B51E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10套</w:t>
            </w:r>
          </w:p>
        </w:tc>
        <w:tc>
          <w:tcPr>
            <w:tcW w:w="376" w:type="pct"/>
            <w:noWrap w:val="0"/>
            <w:vAlign w:val="center"/>
          </w:tcPr>
          <w:p w14:paraId="45B602D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277.6</w:t>
            </w:r>
          </w:p>
        </w:tc>
        <w:tc>
          <w:tcPr>
            <w:tcW w:w="574" w:type="pct"/>
            <w:noWrap w:val="0"/>
            <w:vAlign w:val="center"/>
          </w:tcPr>
          <w:p w14:paraId="046B555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7703A39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2593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4A3385F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17</w:t>
            </w:r>
          </w:p>
        </w:tc>
        <w:tc>
          <w:tcPr>
            <w:tcW w:w="687" w:type="pct"/>
            <w:noWrap w:val="0"/>
            <w:vAlign w:val="center"/>
          </w:tcPr>
          <w:p w14:paraId="04DF4CC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计算机系统硬件检查试验工控计算机</w:t>
            </w:r>
          </w:p>
        </w:tc>
        <w:tc>
          <w:tcPr>
            <w:tcW w:w="2022" w:type="pct"/>
            <w:noWrap w:val="0"/>
            <w:vAlign w:val="center"/>
          </w:tcPr>
          <w:p w14:paraId="65F034C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控制系统养护包含：</w:t>
            </w:r>
          </w:p>
          <w:p w14:paraId="5AA6BA2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1.控制软件及硬件是否运行正常，检查线路、信号是否正常；</w:t>
            </w:r>
          </w:p>
          <w:p w14:paraId="6E60C67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2.保证电脑设备、控制软件系统正常运转。</w:t>
            </w:r>
          </w:p>
          <w:p w14:paraId="6B8DCE1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3.备用主机在运行状态，喷泉程序开启，（备用电脑主机应保持可随时开启）若喷泉运行主机出现故障可以保证随时切换至备用主机。</w:t>
            </w:r>
          </w:p>
        </w:tc>
        <w:tc>
          <w:tcPr>
            <w:tcW w:w="328" w:type="pct"/>
            <w:noWrap w:val="0"/>
            <w:vAlign w:val="center"/>
          </w:tcPr>
          <w:p w14:paraId="377007B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376" w:type="pct"/>
            <w:noWrap w:val="0"/>
            <w:vAlign w:val="center"/>
          </w:tcPr>
          <w:p w14:paraId="5C60523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574" w:type="pct"/>
            <w:noWrap w:val="0"/>
            <w:vAlign w:val="center"/>
          </w:tcPr>
          <w:p w14:paraId="29C3D5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A2986A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645DB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2208987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w:t>
            </w:r>
          </w:p>
        </w:tc>
        <w:tc>
          <w:tcPr>
            <w:tcW w:w="687" w:type="pct"/>
            <w:noWrap w:val="0"/>
            <w:vAlign w:val="center"/>
          </w:tcPr>
          <w:p w14:paraId="202D7A4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投影设备配电柜养护</w:t>
            </w:r>
          </w:p>
        </w:tc>
        <w:tc>
          <w:tcPr>
            <w:tcW w:w="2022" w:type="pct"/>
            <w:noWrap w:val="0"/>
            <w:vAlign w:val="center"/>
          </w:tcPr>
          <w:p w14:paraId="22FD9FF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投影设备配电柜养护包含：</w:t>
            </w:r>
          </w:p>
          <w:p w14:paraId="69007D9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1.控制柜内电气元件检查及维护；</w:t>
            </w:r>
          </w:p>
          <w:p w14:paraId="4061EA7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2.制室柜内不得私自乱接用电器和乱拉电线；</w:t>
            </w:r>
          </w:p>
          <w:p w14:paraId="2682194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3.检查配电柜三相电源是否正常。</w:t>
            </w:r>
          </w:p>
          <w:p w14:paraId="2619CEC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4.检查控制柜状态是否正常，各分路空开是否已开启。</w:t>
            </w:r>
          </w:p>
          <w:p w14:paraId="155E431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5.各仪表盘读数是否有过载、过流、过压欠压等不正常现象，保证设备处于正常状态；</w:t>
            </w:r>
          </w:p>
        </w:tc>
        <w:tc>
          <w:tcPr>
            <w:tcW w:w="328" w:type="pct"/>
            <w:noWrap w:val="0"/>
            <w:vAlign w:val="center"/>
          </w:tcPr>
          <w:p w14:paraId="6B035A2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3DC7891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574" w:type="pct"/>
            <w:noWrap w:val="0"/>
            <w:vAlign w:val="center"/>
          </w:tcPr>
          <w:p w14:paraId="49A8FA4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52E4C8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2F5A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520E5B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19</w:t>
            </w:r>
          </w:p>
        </w:tc>
        <w:tc>
          <w:tcPr>
            <w:tcW w:w="687" w:type="pct"/>
            <w:noWrap w:val="0"/>
            <w:vAlign w:val="center"/>
          </w:tcPr>
          <w:p w14:paraId="7DE18E3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喷泉控制柜养护</w:t>
            </w:r>
          </w:p>
        </w:tc>
        <w:tc>
          <w:tcPr>
            <w:tcW w:w="2022" w:type="pct"/>
            <w:noWrap w:val="0"/>
            <w:vAlign w:val="center"/>
          </w:tcPr>
          <w:p w14:paraId="52CCFA1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喷泉控制柜养护包含：</w:t>
            </w:r>
          </w:p>
          <w:p w14:paraId="200497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1.控制柜内电气元件检查及维护；</w:t>
            </w:r>
          </w:p>
          <w:p w14:paraId="2AD680C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2.制室柜内不得私自乱接用电器和乱拉电线；</w:t>
            </w:r>
          </w:p>
          <w:p w14:paraId="2A4A603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3.检查配电柜三相电源是否正常。</w:t>
            </w:r>
          </w:p>
          <w:p w14:paraId="3CF195E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4.检查控制柜状态是否正常，各分路空开是否已开启。</w:t>
            </w:r>
          </w:p>
          <w:p w14:paraId="6A38871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5.各仪表盘读数是否有过载、过流、过压欠压等不正常现象，保证设备处于正常状态；</w:t>
            </w:r>
          </w:p>
        </w:tc>
        <w:tc>
          <w:tcPr>
            <w:tcW w:w="328" w:type="pct"/>
            <w:noWrap w:val="0"/>
            <w:vAlign w:val="center"/>
          </w:tcPr>
          <w:p w14:paraId="3F8E3D7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52DD106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w:t>
            </w:r>
          </w:p>
        </w:tc>
        <w:tc>
          <w:tcPr>
            <w:tcW w:w="574" w:type="pct"/>
            <w:noWrap w:val="0"/>
            <w:vAlign w:val="center"/>
          </w:tcPr>
          <w:p w14:paraId="2CE4A7D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0BC1782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BF8D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2EC5718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w:t>
            </w:r>
          </w:p>
        </w:tc>
        <w:tc>
          <w:tcPr>
            <w:tcW w:w="687" w:type="pct"/>
            <w:noWrap w:val="0"/>
            <w:vAlign w:val="center"/>
          </w:tcPr>
          <w:p w14:paraId="6F06ADF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变频器75KW养护</w:t>
            </w:r>
          </w:p>
        </w:tc>
        <w:tc>
          <w:tcPr>
            <w:tcW w:w="2022" w:type="pct"/>
            <w:noWrap w:val="0"/>
            <w:vAlign w:val="center"/>
          </w:tcPr>
          <w:p w14:paraId="5DACCBC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变频器75KW养护包含：</w:t>
            </w:r>
          </w:p>
          <w:p w14:paraId="0522CF2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1.变频器是否有异常震动和异常噪声，保证设备正常；</w:t>
            </w:r>
          </w:p>
          <w:p w14:paraId="6067A80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2.变频器是否输入及输出正常；</w:t>
            </w:r>
          </w:p>
          <w:p w14:paraId="45E621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187FB73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39FF9E5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574" w:type="pct"/>
            <w:noWrap w:val="0"/>
            <w:vAlign w:val="center"/>
          </w:tcPr>
          <w:p w14:paraId="4C21E75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07BF6B0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7FB68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37AE64F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21</w:t>
            </w:r>
          </w:p>
        </w:tc>
        <w:tc>
          <w:tcPr>
            <w:tcW w:w="687" w:type="pct"/>
            <w:noWrap w:val="0"/>
            <w:vAlign w:val="center"/>
          </w:tcPr>
          <w:p w14:paraId="7E672B8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变频器45KW养护</w:t>
            </w:r>
          </w:p>
        </w:tc>
        <w:tc>
          <w:tcPr>
            <w:tcW w:w="2022" w:type="pct"/>
            <w:noWrap w:val="0"/>
            <w:vAlign w:val="center"/>
          </w:tcPr>
          <w:p w14:paraId="4D48A7B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变频器45KW养护包含：</w:t>
            </w:r>
          </w:p>
          <w:p w14:paraId="05C4B2F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1.变频器是否有异常震动和异常噪声，保证设备正常；</w:t>
            </w:r>
          </w:p>
          <w:p w14:paraId="23FC84F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2.变频器是否输入及输出正常；</w:t>
            </w:r>
          </w:p>
          <w:p w14:paraId="2A8967C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481C78B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1CCB3A3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574" w:type="pct"/>
            <w:noWrap w:val="0"/>
            <w:vAlign w:val="center"/>
          </w:tcPr>
          <w:p w14:paraId="17C91B4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67C3598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70685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6374233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22</w:t>
            </w:r>
          </w:p>
        </w:tc>
        <w:tc>
          <w:tcPr>
            <w:tcW w:w="687" w:type="pct"/>
            <w:noWrap w:val="0"/>
            <w:vAlign w:val="center"/>
          </w:tcPr>
          <w:p w14:paraId="1190AAA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变频器7.5KW养护</w:t>
            </w:r>
          </w:p>
        </w:tc>
        <w:tc>
          <w:tcPr>
            <w:tcW w:w="2022" w:type="pct"/>
            <w:noWrap w:val="0"/>
            <w:vAlign w:val="center"/>
          </w:tcPr>
          <w:p w14:paraId="335A393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变频器7.5KW养护包含：</w:t>
            </w:r>
          </w:p>
          <w:p w14:paraId="451CA37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1.变频器是否有异常震动和异常噪声，保证设备正常；</w:t>
            </w:r>
          </w:p>
          <w:p w14:paraId="1E0810A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2.变频器是否输入及输出正常；</w:t>
            </w:r>
          </w:p>
          <w:p w14:paraId="5819D39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3887413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6C299C2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346</w:t>
            </w:r>
          </w:p>
        </w:tc>
        <w:tc>
          <w:tcPr>
            <w:tcW w:w="574" w:type="pct"/>
            <w:noWrap w:val="0"/>
            <w:vAlign w:val="center"/>
          </w:tcPr>
          <w:p w14:paraId="770BCD0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0D3FE7D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A63A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6D7CAB1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23</w:t>
            </w:r>
          </w:p>
        </w:tc>
        <w:tc>
          <w:tcPr>
            <w:tcW w:w="687" w:type="pct"/>
            <w:noWrap w:val="0"/>
            <w:vAlign w:val="center"/>
          </w:tcPr>
          <w:p w14:paraId="689E6A0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变频器4KW养护</w:t>
            </w:r>
          </w:p>
        </w:tc>
        <w:tc>
          <w:tcPr>
            <w:tcW w:w="2022" w:type="pct"/>
            <w:noWrap w:val="0"/>
            <w:vAlign w:val="center"/>
          </w:tcPr>
          <w:p w14:paraId="321E3A7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变频器4KW养护包含：</w:t>
            </w:r>
          </w:p>
          <w:p w14:paraId="75908D0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1.变频器是否有异常震动和异常噪声，保证设备正常；</w:t>
            </w:r>
          </w:p>
          <w:p w14:paraId="659BA1C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2.变频器是否输入及输出正常；</w:t>
            </w:r>
          </w:p>
          <w:p w14:paraId="4B638E0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6662667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7C11507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574" w:type="pct"/>
            <w:noWrap w:val="0"/>
            <w:vAlign w:val="center"/>
          </w:tcPr>
          <w:p w14:paraId="4FE53F8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3B7836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6AA62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1513D05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24</w:t>
            </w:r>
          </w:p>
        </w:tc>
        <w:tc>
          <w:tcPr>
            <w:tcW w:w="687" w:type="pct"/>
            <w:noWrap w:val="0"/>
            <w:vAlign w:val="center"/>
          </w:tcPr>
          <w:p w14:paraId="4257CCB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变频器3KW养护</w:t>
            </w:r>
          </w:p>
        </w:tc>
        <w:tc>
          <w:tcPr>
            <w:tcW w:w="2022" w:type="pct"/>
            <w:noWrap w:val="0"/>
            <w:vAlign w:val="center"/>
          </w:tcPr>
          <w:p w14:paraId="086BEC7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变频器3KW养护包含：</w:t>
            </w:r>
          </w:p>
          <w:p w14:paraId="61C4977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1.变频器是否有异常震动和异常噪声，保证设备正常；</w:t>
            </w:r>
          </w:p>
          <w:p w14:paraId="208C9E4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2.变频器是否输入及输出正常；</w:t>
            </w:r>
          </w:p>
          <w:p w14:paraId="5F52479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52A686A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7E5EFB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74" w:type="pct"/>
            <w:noWrap w:val="0"/>
            <w:vAlign w:val="center"/>
          </w:tcPr>
          <w:p w14:paraId="6A4FB54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4E70B65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FAFC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323" w:type="pct"/>
            <w:noWrap w:val="0"/>
            <w:vAlign w:val="center"/>
          </w:tcPr>
          <w:p w14:paraId="42476F0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687" w:type="pct"/>
            <w:noWrap w:val="0"/>
            <w:vAlign w:val="center"/>
          </w:tcPr>
          <w:p w14:paraId="25FC3BE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高压软管DN40</w:t>
            </w:r>
          </w:p>
        </w:tc>
        <w:tc>
          <w:tcPr>
            <w:tcW w:w="2022" w:type="pct"/>
            <w:noWrap w:val="0"/>
            <w:vAlign w:val="center"/>
          </w:tcPr>
          <w:p w14:paraId="127DB34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高压软管养护包含：</w:t>
            </w:r>
          </w:p>
          <w:p w14:paraId="632AE76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1.每天一次检查（包含是否有泄露、丝扣是否有异常等情况），是否达到工作压力；</w:t>
            </w:r>
          </w:p>
          <w:p w14:paraId="69C32E5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2.每月一次大检查；</w:t>
            </w:r>
          </w:p>
          <w:p w14:paraId="59F4F09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7B6E14C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376" w:type="pct"/>
            <w:noWrap w:val="0"/>
            <w:vAlign w:val="center"/>
          </w:tcPr>
          <w:p w14:paraId="6002173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238</w:t>
            </w:r>
          </w:p>
        </w:tc>
        <w:tc>
          <w:tcPr>
            <w:tcW w:w="574" w:type="pct"/>
            <w:noWrap w:val="0"/>
            <w:vAlign w:val="center"/>
          </w:tcPr>
          <w:p w14:paraId="65AFB2D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34121C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08AF9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35A820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26</w:t>
            </w:r>
          </w:p>
        </w:tc>
        <w:tc>
          <w:tcPr>
            <w:tcW w:w="687" w:type="pct"/>
            <w:noWrap w:val="0"/>
            <w:vAlign w:val="center"/>
          </w:tcPr>
          <w:p w14:paraId="18DBF72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投影机养护</w:t>
            </w:r>
          </w:p>
        </w:tc>
        <w:tc>
          <w:tcPr>
            <w:tcW w:w="2022" w:type="pct"/>
            <w:noWrap w:val="0"/>
            <w:vAlign w:val="center"/>
          </w:tcPr>
          <w:p w14:paraId="1F4ADE8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投影机养护包含：</w:t>
            </w:r>
          </w:p>
          <w:p w14:paraId="0F4F7DD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1.每天检查投影机启用是否正常，能否正常出光；</w:t>
            </w:r>
          </w:p>
          <w:p w14:paraId="1745C82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2.出光口表面清理；</w:t>
            </w:r>
          </w:p>
          <w:p w14:paraId="467899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p w14:paraId="6B90788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4.画面与声音基本同步；</w:t>
            </w:r>
          </w:p>
          <w:p w14:paraId="65B531E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5.防水机箱是否密封，排风口是否正常。</w:t>
            </w:r>
          </w:p>
        </w:tc>
        <w:tc>
          <w:tcPr>
            <w:tcW w:w="328" w:type="pct"/>
            <w:noWrap w:val="0"/>
            <w:vAlign w:val="center"/>
          </w:tcPr>
          <w:p w14:paraId="36EE8F8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389CA94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574" w:type="pct"/>
            <w:noWrap w:val="0"/>
            <w:vAlign w:val="center"/>
          </w:tcPr>
          <w:p w14:paraId="13F19AF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8EC736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6F41D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23" w:type="pct"/>
            <w:noWrap w:val="0"/>
            <w:vAlign w:val="center"/>
          </w:tcPr>
          <w:p w14:paraId="1D3ABE3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27</w:t>
            </w:r>
          </w:p>
        </w:tc>
        <w:tc>
          <w:tcPr>
            <w:tcW w:w="687" w:type="pct"/>
            <w:noWrap w:val="0"/>
            <w:vAlign w:val="center"/>
          </w:tcPr>
          <w:p w14:paraId="0D4596E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光束灯养护</w:t>
            </w:r>
          </w:p>
        </w:tc>
        <w:tc>
          <w:tcPr>
            <w:tcW w:w="2022" w:type="pct"/>
            <w:noWrap w:val="0"/>
            <w:vAlign w:val="center"/>
          </w:tcPr>
          <w:p w14:paraId="6AAFBD0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光束灯养护包含：</w:t>
            </w:r>
          </w:p>
          <w:p w14:paraId="2C06C0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1.每天检查光束灯灯光亮度及颜色是否正常，光束灯是否有不转、不亮等状态；</w:t>
            </w:r>
          </w:p>
          <w:p w14:paraId="2B020F7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2.灯具表面清理；</w:t>
            </w:r>
          </w:p>
          <w:p w14:paraId="485353B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p w14:paraId="1D9BA2D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4.灯光变化与音乐节拍基本同步；</w:t>
            </w:r>
          </w:p>
        </w:tc>
        <w:tc>
          <w:tcPr>
            <w:tcW w:w="328" w:type="pct"/>
            <w:noWrap w:val="0"/>
            <w:vAlign w:val="center"/>
          </w:tcPr>
          <w:p w14:paraId="08BA9FA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376" w:type="pct"/>
            <w:noWrap w:val="0"/>
            <w:vAlign w:val="center"/>
          </w:tcPr>
          <w:p w14:paraId="5416117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w:t>
            </w:r>
          </w:p>
        </w:tc>
        <w:tc>
          <w:tcPr>
            <w:tcW w:w="574" w:type="pct"/>
            <w:noWrap w:val="0"/>
            <w:vAlign w:val="center"/>
          </w:tcPr>
          <w:p w14:paraId="72393B1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317EEB1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08351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A736BA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w:t>
            </w:r>
          </w:p>
        </w:tc>
        <w:tc>
          <w:tcPr>
            <w:tcW w:w="687" w:type="pct"/>
            <w:noWrap w:val="0"/>
            <w:vAlign w:val="center"/>
          </w:tcPr>
          <w:p w14:paraId="40AD520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激光灯养护</w:t>
            </w:r>
          </w:p>
        </w:tc>
        <w:tc>
          <w:tcPr>
            <w:tcW w:w="2022" w:type="pct"/>
            <w:noWrap w:val="0"/>
            <w:vAlign w:val="center"/>
          </w:tcPr>
          <w:p w14:paraId="78F74A2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激光灯养护包含：</w:t>
            </w:r>
          </w:p>
          <w:p w14:paraId="0A11AD6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每天检查光束灯灯光亮度及颜色是否正常，激光灯是否有不受控、不出光等状态；</w:t>
            </w:r>
          </w:p>
          <w:p w14:paraId="417D363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2.出光口表面清理；</w:t>
            </w:r>
          </w:p>
          <w:p w14:paraId="3621B3B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p w14:paraId="60BC53F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4.灯光变化与音乐节拍基本同步；</w:t>
            </w:r>
          </w:p>
        </w:tc>
        <w:tc>
          <w:tcPr>
            <w:tcW w:w="328" w:type="pct"/>
            <w:noWrap w:val="0"/>
            <w:vAlign w:val="center"/>
          </w:tcPr>
          <w:p w14:paraId="5593965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434DC62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574" w:type="pct"/>
            <w:noWrap w:val="0"/>
            <w:vAlign w:val="center"/>
          </w:tcPr>
          <w:p w14:paraId="6D6A4CB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559D069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61F2C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7"/>
            <w:noWrap w:val="0"/>
            <w:vAlign w:val="center"/>
          </w:tcPr>
          <w:p w14:paraId="57EEE3B2">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left"/>
              <w:textAlignment w:val="baseline"/>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二、设备维修</w:t>
            </w:r>
          </w:p>
        </w:tc>
      </w:tr>
      <w:tr w14:paraId="3A3EB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6B9B8CC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B5033B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4B0C4E5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687" w:type="pct"/>
            <w:noWrap w:val="0"/>
            <w:vAlign w:val="center"/>
          </w:tcPr>
          <w:p w14:paraId="71B09F8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7AF1EB4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2DE1EAA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喷泉水泵维修</w:t>
            </w:r>
          </w:p>
        </w:tc>
        <w:tc>
          <w:tcPr>
            <w:tcW w:w="2022" w:type="pct"/>
            <w:noWrap w:val="0"/>
            <w:vAlign w:val="center"/>
          </w:tcPr>
          <w:p w14:paraId="4D5F92A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1、QS40-28-5.5水泵拆卸、人工费以及水泵不换件维修</w:t>
            </w:r>
          </w:p>
          <w:p w14:paraId="51BDA01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2、QS40-28-5.5水泵维修（含技工人工费以及水泵维修）</w:t>
            </w:r>
          </w:p>
          <w:p w14:paraId="2CFF212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3、安装、调试（含单体调试）</w:t>
            </w:r>
          </w:p>
        </w:tc>
        <w:tc>
          <w:tcPr>
            <w:tcW w:w="328" w:type="pct"/>
            <w:noWrap w:val="0"/>
            <w:vAlign w:val="center"/>
          </w:tcPr>
          <w:p w14:paraId="3743B6F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C9FAA8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5152AE5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099874B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6F7E3F9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389DD9A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574" w:type="pct"/>
            <w:noWrap w:val="0"/>
            <w:vAlign w:val="center"/>
          </w:tcPr>
          <w:p w14:paraId="018D5CCE">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5455F0A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6B70B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254C318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3F1D01B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33953E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87" w:type="pct"/>
            <w:noWrap w:val="0"/>
            <w:vAlign w:val="center"/>
          </w:tcPr>
          <w:p w14:paraId="444A9B5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2B350F4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4D49D59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喷泉水泵维修</w:t>
            </w:r>
          </w:p>
        </w:tc>
        <w:tc>
          <w:tcPr>
            <w:tcW w:w="2022" w:type="pct"/>
            <w:noWrap w:val="0"/>
            <w:vAlign w:val="center"/>
          </w:tcPr>
          <w:p w14:paraId="4336E70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1、QS25-25-3水泵拆卸</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人工费以及水泵不换件维修</w:t>
            </w:r>
          </w:p>
          <w:p w14:paraId="0271DA1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2、QS25-25-3水泵维修（含技工人工费以及水泵维修）</w:t>
            </w:r>
          </w:p>
          <w:p w14:paraId="415C248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3、安装、调试（含单体调试）</w:t>
            </w:r>
          </w:p>
        </w:tc>
        <w:tc>
          <w:tcPr>
            <w:tcW w:w="328" w:type="pct"/>
            <w:noWrap w:val="0"/>
            <w:vAlign w:val="center"/>
          </w:tcPr>
          <w:p w14:paraId="4C8D741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2E16ED2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4602A7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4FD20C4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50A9A94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B6891D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74" w:type="pct"/>
            <w:noWrap w:val="0"/>
            <w:vAlign w:val="center"/>
          </w:tcPr>
          <w:p w14:paraId="791FEEC9">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3CF9F63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3516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60453C0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71B5D72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2DB6F11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687" w:type="pct"/>
            <w:noWrap w:val="0"/>
            <w:vAlign w:val="center"/>
          </w:tcPr>
          <w:p w14:paraId="566C2B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5B907E1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151F00B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气爆装置维修</w:t>
            </w:r>
          </w:p>
        </w:tc>
        <w:tc>
          <w:tcPr>
            <w:tcW w:w="2022" w:type="pct"/>
            <w:noWrap w:val="0"/>
            <w:vAlign w:val="center"/>
          </w:tcPr>
          <w:p w14:paraId="1C8FEF5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气爆装置维修</w:t>
            </w:r>
          </w:p>
          <w:p w14:paraId="781F089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1、气爆装置拆卸人工费、设备更换气爆阀板、弹簧、支撑件等配件，不含主体</w:t>
            </w:r>
          </w:p>
          <w:p w14:paraId="148FC45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2、安装、调试（含单体调试）</w:t>
            </w:r>
          </w:p>
        </w:tc>
        <w:tc>
          <w:tcPr>
            <w:tcW w:w="328" w:type="pct"/>
            <w:noWrap w:val="0"/>
            <w:vAlign w:val="center"/>
          </w:tcPr>
          <w:p w14:paraId="1A065B6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5ECE2A2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4BD8B08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431E6D7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42E7E62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7F5080C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w:t>
            </w:r>
          </w:p>
        </w:tc>
        <w:tc>
          <w:tcPr>
            <w:tcW w:w="574" w:type="pct"/>
            <w:noWrap w:val="0"/>
            <w:vAlign w:val="center"/>
          </w:tcPr>
          <w:p w14:paraId="01BD9219">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2DE0D93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05D8C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3C9AC91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3C7B179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2600C4A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687" w:type="pct"/>
            <w:noWrap w:val="0"/>
            <w:vAlign w:val="center"/>
          </w:tcPr>
          <w:p w14:paraId="0A97747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5301767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6937E94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电磁阀维修</w:t>
            </w:r>
          </w:p>
        </w:tc>
        <w:tc>
          <w:tcPr>
            <w:tcW w:w="2022" w:type="pct"/>
            <w:noWrap w:val="0"/>
            <w:vAlign w:val="center"/>
          </w:tcPr>
          <w:p w14:paraId="708B986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DN40电磁阀维修</w:t>
            </w:r>
          </w:p>
          <w:p w14:paraId="5B5D776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1、电磁阀拆卸人工费</w:t>
            </w:r>
          </w:p>
          <w:p w14:paraId="60C707D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2、电磁阀阀体、线路维修及满足使用前提下不换件维修</w:t>
            </w:r>
          </w:p>
          <w:p w14:paraId="1A7DF6C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3、安装、调试（含单体调试）</w:t>
            </w:r>
          </w:p>
        </w:tc>
        <w:tc>
          <w:tcPr>
            <w:tcW w:w="328" w:type="pct"/>
            <w:noWrap w:val="0"/>
            <w:vAlign w:val="center"/>
          </w:tcPr>
          <w:p w14:paraId="78B3449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54DCB28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02944C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3C716B7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C18187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314E45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22</w:t>
            </w:r>
          </w:p>
        </w:tc>
        <w:tc>
          <w:tcPr>
            <w:tcW w:w="574" w:type="pct"/>
            <w:noWrap w:val="0"/>
            <w:vAlign w:val="center"/>
          </w:tcPr>
          <w:p w14:paraId="398A727B">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0710607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35225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6DD12CC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73661A0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208CBEC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5FD684D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687" w:type="pct"/>
            <w:noWrap w:val="0"/>
            <w:vAlign w:val="center"/>
          </w:tcPr>
          <w:p w14:paraId="4D8CC4C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75C424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4795AC1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排污泵维修</w:t>
            </w:r>
          </w:p>
          <w:p w14:paraId="0F3CCDA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150WQ150-8-5.5</w:t>
            </w:r>
          </w:p>
        </w:tc>
        <w:tc>
          <w:tcPr>
            <w:tcW w:w="2022" w:type="pct"/>
            <w:noWrap w:val="0"/>
            <w:vAlign w:val="center"/>
          </w:tcPr>
          <w:p w14:paraId="09CE3E5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1、排污泵150-8-5.5水泵拆卸</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人工费以及水泵不换件维修</w:t>
            </w:r>
          </w:p>
          <w:p w14:paraId="133CFB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2、排污泵150-8-5.5水泵维修（含技工人工费以及水泵维修）</w:t>
            </w:r>
          </w:p>
          <w:p w14:paraId="4EF94E7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3、安装、调试（含单体调试）</w:t>
            </w:r>
          </w:p>
        </w:tc>
        <w:tc>
          <w:tcPr>
            <w:tcW w:w="328" w:type="pct"/>
            <w:noWrap w:val="0"/>
            <w:vAlign w:val="center"/>
          </w:tcPr>
          <w:p w14:paraId="131C696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25FD1F1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75C05D3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2E4471E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75127EB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6085C55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64BE52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71ABED4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574" w:type="pct"/>
            <w:noWrap w:val="0"/>
            <w:vAlign w:val="center"/>
          </w:tcPr>
          <w:p w14:paraId="5335A5EC">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26A93B4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60393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107ECA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6D80001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1B000F2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08C01A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w:t>
            </w:r>
          </w:p>
        </w:tc>
        <w:tc>
          <w:tcPr>
            <w:tcW w:w="687" w:type="pct"/>
            <w:noWrap w:val="0"/>
            <w:vAlign w:val="center"/>
          </w:tcPr>
          <w:p w14:paraId="3DCEAFA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42141EA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3BB645B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导水泵维修</w:t>
            </w:r>
          </w:p>
          <w:p w14:paraId="3D383C4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150WQ150-8-5.5</w:t>
            </w:r>
          </w:p>
        </w:tc>
        <w:tc>
          <w:tcPr>
            <w:tcW w:w="2022" w:type="pct"/>
            <w:noWrap w:val="0"/>
            <w:vAlign w:val="center"/>
          </w:tcPr>
          <w:p w14:paraId="3644331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1、导水泵150-8-5.5水泵拆卸、人工费以及水泵不换件维修</w:t>
            </w:r>
          </w:p>
          <w:p w14:paraId="113FEDA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2、导水泵150-8-5.5水泵维修（含技工人工费以及水泵维修）</w:t>
            </w:r>
          </w:p>
          <w:p w14:paraId="1643152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3、安装、调试（含单体调试）</w:t>
            </w:r>
          </w:p>
        </w:tc>
        <w:tc>
          <w:tcPr>
            <w:tcW w:w="328" w:type="pct"/>
            <w:noWrap w:val="0"/>
            <w:vAlign w:val="center"/>
          </w:tcPr>
          <w:p w14:paraId="2712D08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6A62F2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57622B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222260C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42AE3E0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6979779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3729FB7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6700F60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74" w:type="pct"/>
            <w:noWrap w:val="0"/>
            <w:vAlign w:val="center"/>
          </w:tcPr>
          <w:p w14:paraId="4975AC01">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778DE1C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5BB71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B45B98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w:t>
            </w:r>
          </w:p>
        </w:tc>
        <w:tc>
          <w:tcPr>
            <w:tcW w:w="687" w:type="pct"/>
            <w:noWrap w:val="0"/>
            <w:vAlign w:val="center"/>
          </w:tcPr>
          <w:p w14:paraId="1672CD4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变频器7.5KW维修</w:t>
            </w:r>
          </w:p>
        </w:tc>
        <w:tc>
          <w:tcPr>
            <w:tcW w:w="2022" w:type="pct"/>
            <w:noWrap w:val="0"/>
            <w:vAlign w:val="center"/>
          </w:tcPr>
          <w:p w14:paraId="6D6DA25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变频器维修</w:t>
            </w:r>
          </w:p>
          <w:p w14:paraId="2C678FD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1、变频器拆卸人工费（含技工人工费以及变频器维修）</w:t>
            </w:r>
          </w:p>
        </w:tc>
        <w:tc>
          <w:tcPr>
            <w:tcW w:w="328" w:type="pct"/>
            <w:noWrap w:val="0"/>
            <w:vAlign w:val="center"/>
          </w:tcPr>
          <w:p w14:paraId="241D5E9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tcBorders>
              <w:right w:val="single" w:color="auto" w:sz="4" w:space="0"/>
            </w:tcBorders>
            <w:noWrap w:val="0"/>
            <w:vAlign w:val="center"/>
          </w:tcPr>
          <w:p w14:paraId="5DEF819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574" w:type="pct"/>
            <w:tcBorders>
              <w:left w:val="single" w:color="auto" w:sz="4" w:space="0"/>
            </w:tcBorders>
            <w:noWrap w:val="0"/>
            <w:vAlign w:val="center"/>
          </w:tcPr>
          <w:p w14:paraId="6C7E635F">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66930F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3CDF5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738" w:type="pct"/>
            <w:gridSpan w:val="5"/>
            <w:tcBorders>
              <w:right w:val="single" w:color="auto" w:sz="4" w:space="0"/>
            </w:tcBorders>
            <w:noWrap w:val="0"/>
            <w:vAlign w:val="center"/>
          </w:tcPr>
          <w:p w14:paraId="5B45C95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default" w:ascii="宋体" w:hAnsi="宋体" w:eastAsia="宋体" w:cs="宋体"/>
                <w:b/>
                <w:bCs/>
                <w:i w:val="0"/>
                <w:iCs w:val="0"/>
                <w:color w:val="auto"/>
                <w:kern w:val="0"/>
                <w:sz w:val="20"/>
                <w:szCs w:val="20"/>
                <w:highlight w:val="none"/>
                <w:u w:val="none"/>
                <w:lang w:val="en-US" w:eastAsia="zh-CN" w:bidi="ar"/>
              </w:rPr>
            </w:pPr>
            <w:r>
              <w:rPr>
                <w:rFonts w:hint="eastAsia" w:ascii="宋体" w:hAnsi="宋体" w:cs="宋体"/>
                <w:b/>
                <w:bCs/>
                <w:i w:val="0"/>
                <w:iCs w:val="0"/>
                <w:color w:val="auto"/>
                <w:kern w:val="0"/>
                <w:sz w:val="20"/>
                <w:szCs w:val="20"/>
                <w:highlight w:val="none"/>
                <w:u w:val="none"/>
                <w:lang w:val="en-US" w:eastAsia="zh-CN" w:bidi="ar"/>
              </w:rPr>
              <w:t>三、设备换新</w:t>
            </w:r>
          </w:p>
        </w:tc>
        <w:tc>
          <w:tcPr>
            <w:tcW w:w="1261" w:type="pct"/>
            <w:gridSpan w:val="2"/>
            <w:tcBorders>
              <w:left w:val="single" w:color="auto" w:sz="4" w:space="0"/>
            </w:tcBorders>
            <w:noWrap w:val="0"/>
            <w:vAlign w:val="center"/>
          </w:tcPr>
          <w:p w14:paraId="3575BEF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cs="宋体"/>
                <w:b/>
                <w:bCs/>
                <w:i w:val="0"/>
                <w:iCs w:val="0"/>
                <w:color w:val="auto"/>
                <w:kern w:val="0"/>
                <w:sz w:val="20"/>
                <w:szCs w:val="20"/>
                <w:highlight w:val="none"/>
                <w:u w:val="none"/>
                <w:lang w:val="en-US" w:eastAsia="zh-CN" w:bidi="ar"/>
              </w:rPr>
            </w:pPr>
          </w:p>
        </w:tc>
      </w:tr>
      <w:tr w14:paraId="694B3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F7D516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687" w:type="pct"/>
            <w:noWrap w:val="0"/>
            <w:vAlign w:val="center"/>
          </w:tcPr>
          <w:p w14:paraId="267273F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喷泉水泵3KW</w:t>
            </w:r>
          </w:p>
        </w:tc>
        <w:tc>
          <w:tcPr>
            <w:tcW w:w="2022" w:type="pct"/>
            <w:noWrap w:val="0"/>
            <w:vAlign w:val="center"/>
          </w:tcPr>
          <w:p w14:paraId="2C8E97A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喷泉水泵3KW</w:t>
            </w:r>
            <w:r>
              <w:rPr>
                <w:rFonts w:hint="eastAsia" w:ascii="宋体" w:hAnsi="宋体" w:cs="宋体"/>
                <w:i w:val="0"/>
                <w:iCs w:val="0"/>
                <w:color w:val="auto"/>
                <w:kern w:val="0"/>
                <w:sz w:val="20"/>
                <w:szCs w:val="20"/>
                <w:highlight w:val="none"/>
                <w:u w:val="none"/>
                <w:lang w:val="en-US" w:eastAsia="zh-CN" w:bidi="ar"/>
              </w:rPr>
              <w:t>换新</w:t>
            </w:r>
            <w:r>
              <w:rPr>
                <w:rFonts w:hint="eastAsia" w:ascii="宋体" w:hAnsi="宋体" w:eastAsia="宋体" w:cs="宋体"/>
                <w:i w:val="0"/>
                <w:iCs w:val="0"/>
                <w:color w:val="auto"/>
                <w:kern w:val="0"/>
                <w:sz w:val="20"/>
                <w:szCs w:val="20"/>
                <w:highlight w:val="none"/>
                <w:u w:val="none"/>
                <w:lang w:val="en-US" w:eastAsia="zh-CN" w:bidi="ar"/>
              </w:rPr>
              <w:t>安装</w:t>
            </w:r>
          </w:p>
          <w:p w14:paraId="195C8A8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1、QS25-24-3</w:t>
            </w:r>
          </w:p>
          <w:p w14:paraId="75764D9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2、安装、调试（含单体及各系统整体、联合调试）</w:t>
            </w:r>
          </w:p>
        </w:tc>
        <w:tc>
          <w:tcPr>
            <w:tcW w:w="328" w:type="pct"/>
            <w:noWrap w:val="0"/>
            <w:vAlign w:val="center"/>
          </w:tcPr>
          <w:p w14:paraId="0476FBE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tcBorders>
              <w:right w:val="single" w:color="auto" w:sz="4" w:space="0"/>
            </w:tcBorders>
            <w:noWrap w:val="0"/>
            <w:vAlign w:val="center"/>
          </w:tcPr>
          <w:p w14:paraId="51FC4CB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74" w:type="pct"/>
            <w:tcBorders>
              <w:left w:val="single" w:color="auto" w:sz="4" w:space="0"/>
            </w:tcBorders>
            <w:noWrap w:val="0"/>
            <w:vAlign w:val="center"/>
          </w:tcPr>
          <w:p w14:paraId="5C3599F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3939A1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7858B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242FA9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87" w:type="pct"/>
            <w:noWrap w:val="0"/>
            <w:vAlign w:val="center"/>
          </w:tcPr>
          <w:p w14:paraId="095DE31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电磁阀更新</w:t>
            </w:r>
          </w:p>
        </w:tc>
        <w:tc>
          <w:tcPr>
            <w:tcW w:w="2022" w:type="pct"/>
            <w:noWrap w:val="0"/>
            <w:vAlign w:val="center"/>
          </w:tcPr>
          <w:p w14:paraId="1CEA7CC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电磁阀</w:t>
            </w:r>
            <w:r>
              <w:rPr>
                <w:rFonts w:hint="eastAsia" w:ascii="宋体" w:hAnsi="宋体" w:cs="宋体"/>
                <w:i w:val="0"/>
                <w:iCs w:val="0"/>
                <w:color w:val="auto"/>
                <w:kern w:val="0"/>
                <w:sz w:val="20"/>
                <w:szCs w:val="20"/>
                <w:highlight w:val="none"/>
                <w:u w:val="none"/>
                <w:lang w:val="en-US" w:eastAsia="zh-CN" w:bidi="ar"/>
              </w:rPr>
              <w:t>换新</w:t>
            </w:r>
            <w:r>
              <w:rPr>
                <w:rFonts w:hint="eastAsia" w:ascii="宋体" w:hAnsi="宋体" w:eastAsia="宋体" w:cs="宋体"/>
                <w:i w:val="0"/>
                <w:iCs w:val="0"/>
                <w:color w:val="auto"/>
                <w:kern w:val="0"/>
                <w:sz w:val="20"/>
                <w:szCs w:val="20"/>
                <w:highlight w:val="none"/>
                <w:u w:val="none"/>
                <w:lang w:val="en-US" w:eastAsia="zh-CN" w:bidi="ar"/>
              </w:rPr>
              <w:t>安装</w:t>
            </w:r>
          </w:p>
          <w:p w14:paraId="38693A2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1、DN40</w:t>
            </w:r>
          </w:p>
          <w:p w14:paraId="51F894F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2、304不锈钢材质</w:t>
            </w:r>
          </w:p>
          <w:p w14:paraId="59CF7B7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3、压力2.5MPa</w:t>
            </w:r>
          </w:p>
          <w:p w14:paraId="3C702A8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4、连接方式：螺纹</w:t>
            </w:r>
          </w:p>
          <w:p w14:paraId="710E302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5、应用介质：气</w:t>
            </w:r>
          </w:p>
          <w:p w14:paraId="6EE4318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6、安装、调试（含单体及各系统整体、联合调试）</w:t>
            </w:r>
          </w:p>
        </w:tc>
        <w:tc>
          <w:tcPr>
            <w:tcW w:w="328" w:type="pct"/>
            <w:noWrap w:val="0"/>
            <w:vAlign w:val="center"/>
          </w:tcPr>
          <w:p w14:paraId="68B6E27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199B3EE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574" w:type="pct"/>
            <w:noWrap w:val="0"/>
            <w:vAlign w:val="center"/>
          </w:tcPr>
          <w:p w14:paraId="22F8FCD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7324339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173B8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311ECC4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687" w:type="pct"/>
            <w:noWrap w:val="0"/>
            <w:vAlign w:val="center"/>
          </w:tcPr>
          <w:p w14:paraId="4355C57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水下灯（白色）</w:t>
            </w:r>
          </w:p>
        </w:tc>
        <w:tc>
          <w:tcPr>
            <w:tcW w:w="2022" w:type="pct"/>
            <w:noWrap w:val="0"/>
            <w:vAlign w:val="center"/>
          </w:tcPr>
          <w:p w14:paraId="5E7F6F7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水下灯</w:t>
            </w:r>
            <w:r>
              <w:rPr>
                <w:rFonts w:hint="eastAsia" w:ascii="宋体" w:hAnsi="宋体" w:cs="宋体"/>
                <w:i w:val="0"/>
                <w:iCs w:val="0"/>
                <w:color w:val="auto"/>
                <w:kern w:val="0"/>
                <w:sz w:val="20"/>
                <w:szCs w:val="20"/>
                <w:highlight w:val="none"/>
                <w:u w:val="none"/>
                <w:lang w:val="en-US" w:eastAsia="zh-CN" w:bidi="ar"/>
              </w:rPr>
              <w:t>换新</w:t>
            </w:r>
            <w:r>
              <w:rPr>
                <w:rFonts w:hint="eastAsia" w:ascii="宋体" w:hAnsi="宋体" w:eastAsia="宋体" w:cs="宋体"/>
                <w:i w:val="0"/>
                <w:iCs w:val="0"/>
                <w:color w:val="auto"/>
                <w:kern w:val="0"/>
                <w:sz w:val="20"/>
                <w:szCs w:val="20"/>
                <w:highlight w:val="none"/>
                <w:u w:val="none"/>
                <w:lang w:val="en-US" w:eastAsia="zh-CN" w:bidi="ar"/>
              </w:rPr>
              <w:t>安装</w:t>
            </w:r>
          </w:p>
          <w:p w14:paraId="187CFAF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1、灯具功率125W</w:t>
            </w:r>
          </w:p>
          <w:p w14:paraId="46F3AC2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2、304不锈钢材质</w:t>
            </w:r>
          </w:p>
          <w:p w14:paraId="68E32CD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3、安装、调试（含单体及各系统整体、联合调试）</w:t>
            </w:r>
          </w:p>
        </w:tc>
        <w:tc>
          <w:tcPr>
            <w:tcW w:w="328" w:type="pct"/>
            <w:noWrap w:val="0"/>
            <w:vAlign w:val="center"/>
          </w:tcPr>
          <w:p w14:paraId="2709BD9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376" w:type="pct"/>
            <w:noWrap w:val="0"/>
            <w:vAlign w:val="center"/>
          </w:tcPr>
          <w:p w14:paraId="58DA6CF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574" w:type="pct"/>
            <w:noWrap w:val="0"/>
            <w:vAlign w:val="center"/>
          </w:tcPr>
          <w:p w14:paraId="15FFAC0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463CCD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3129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1AE4D94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7C58D7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687" w:type="pct"/>
            <w:noWrap w:val="0"/>
            <w:vAlign w:val="center"/>
          </w:tcPr>
          <w:p w14:paraId="7D96C92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w:t>
            </w:r>
          </w:p>
        </w:tc>
        <w:tc>
          <w:tcPr>
            <w:tcW w:w="2022" w:type="pct"/>
            <w:noWrap w:val="0"/>
            <w:vAlign w:val="center"/>
          </w:tcPr>
          <w:p w14:paraId="05152CC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w:t>
            </w:r>
            <w:r>
              <w:rPr>
                <w:rFonts w:hint="eastAsia" w:ascii="宋体" w:hAnsi="宋体" w:cs="宋体"/>
                <w:i w:val="0"/>
                <w:iCs w:val="0"/>
                <w:color w:val="auto"/>
                <w:kern w:val="0"/>
                <w:sz w:val="20"/>
                <w:szCs w:val="20"/>
                <w:highlight w:val="none"/>
                <w:u w:val="none"/>
                <w:lang w:val="en-US" w:eastAsia="zh-CN" w:bidi="ar"/>
              </w:rPr>
              <w:t>换新</w:t>
            </w:r>
            <w:r>
              <w:rPr>
                <w:rFonts w:hint="eastAsia" w:ascii="宋体" w:hAnsi="宋体" w:eastAsia="宋体" w:cs="宋体"/>
                <w:i w:val="0"/>
                <w:iCs w:val="0"/>
                <w:color w:val="auto"/>
                <w:kern w:val="0"/>
                <w:sz w:val="20"/>
                <w:szCs w:val="20"/>
                <w:highlight w:val="none"/>
                <w:u w:val="none"/>
                <w:lang w:val="en-US" w:eastAsia="zh-CN" w:bidi="ar"/>
              </w:rPr>
              <w:t>安装</w:t>
            </w:r>
          </w:p>
          <w:p w14:paraId="28EDB74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1、变频器7.5KW</w:t>
            </w:r>
          </w:p>
          <w:p w14:paraId="75401E3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2、安装、调试（含单体及各系统整体、联合调试）</w:t>
            </w:r>
          </w:p>
        </w:tc>
        <w:tc>
          <w:tcPr>
            <w:tcW w:w="328" w:type="pct"/>
            <w:noWrap w:val="0"/>
            <w:vAlign w:val="center"/>
          </w:tcPr>
          <w:p w14:paraId="5948E80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55A6CBE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4EFE4B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4F2EBBD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74" w:type="pct"/>
            <w:noWrap w:val="0"/>
            <w:vAlign w:val="center"/>
          </w:tcPr>
          <w:p w14:paraId="40730B8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5C7A48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E296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A5537A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5DE88D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687" w:type="pct"/>
            <w:noWrap w:val="0"/>
            <w:vAlign w:val="center"/>
          </w:tcPr>
          <w:p w14:paraId="2F54D05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1F71EF9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高压软管</w:t>
            </w:r>
          </w:p>
        </w:tc>
        <w:tc>
          <w:tcPr>
            <w:tcW w:w="2022" w:type="pct"/>
            <w:noWrap w:val="0"/>
            <w:vAlign w:val="center"/>
          </w:tcPr>
          <w:p w14:paraId="262D7F2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高压软管</w:t>
            </w:r>
            <w:r>
              <w:rPr>
                <w:rFonts w:hint="eastAsia" w:ascii="宋体" w:hAnsi="宋体" w:cs="宋体"/>
                <w:i w:val="0"/>
                <w:iCs w:val="0"/>
                <w:color w:val="auto"/>
                <w:kern w:val="0"/>
                <w:sz w:val="20"/>
                <w:szCs w:val="20"/>
                <w:highlight w:val="none"/>
                <w:u w:val="none"/>
                <w:lang w:val="en-US" w:eastAsia="zh-CN" w:bidi="ar"/>
              </w:rPr>
              <w:t>换新</w:t>
            </w:r>
            <w:r>
              <w:rPr>
                <w:rFonts w:hint="eastAsia" w:ascii="宋体" w:hAnsi="宋体" w:eastAsia="宋体" w:cs="宋体"/>
                <w:i w:val="0"/>
                <w:iCs w:val="0"/>
                <w:color w:val="auto"/>
                <w:kern w:val="0"/>
                <w:sz w:val="20"/>
                <w:szCs w:val="20"/>
                <w:highlight w:val="none"/>
                <w:u w:val="none"/>
                <w:lang w:val="en-US" w:eastAsia="zh-CN" w:bidi="ar"/>
              </w:rPr>
              <w:t>安装</w:t>
            </w:r>
          </w:p>
          <w:p w14:paraId="6F4C749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1.丁晴橡胶，内置高强度钢丝,2米/根,承压1.6Mpa，含原有管的拆除、更换、安装及调试</w:t>
            </w:r>
          </w:p>
        </w:tc>
        <w:tc>
          <w:tcPr>
            <w:tcW w:w="328" w:type="pct"/>
            <w:noWrap w:val="0"/>
            <w:vAlign w:val="center"/>
          </w:tcPr>
          <w:p w14:paraId="117967C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36F2E1F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376" w:type="pct"/>
            <w:noWrap w:val="0"/>
            <w:vAlign w:val="center"/>
          </w:tcPr>
          <w:p w14:paraId="3B3F6AA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1E4C92C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74" w:type="pct"/>
            <w:noWrap w:val="0"/>
            <w:vAlign w:val="center"/>
          </w:tcPr>
          <w:p w14:paraId="339F4AA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4649DF8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bl>
    <w:p w14:paraId="0EDEE77C">
      <w:pPr>
        <w:keepNext w:val="0"/>
        <w:keepLines w:val="0"/>
        <w:pageBreakBefore w:val="0"/>
        <w:shd w:val="clear"/>
        <w:kinsoku/>
        <w:wordWrap/>
        <w:overflowPunct/>
        <w:topLinePunct w:val="0"/>
        <w:autoSpaceDE w:val="0"/>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注：设备维修、更换工程量为预估数量。设备维修更换前，乙方应向甲方书面提交维修更换清单，经甲方同意并双方签字盖章后，方可实施。乙方不得因设备维修更换数量增加或减少而调整合同综合单价。</w:t>
      </w:r>
    </w:p>
    <w:p w14:paraId="6468F5E3">
      <w:pPr>
        <w:pStyle w:val="5"/>
        <w:keepNext w:val="0"/>
        <w:keepLines w:val="0"/>
        <w:pageBreakBefore w:val="0"/>
        <w:shd w:val="clear"/>
        <w:kinsoku/>
        <w:wordWrap/>
        <w:overflowPunct/>
        <w:topLinePunct w:val="0"/>
        <w:bidi w:val="0"/>
        <w:adjustRightInd w:val="0"/>
        <w:snapToGrid w:val="0"/>
        <w:spacing w:line="360" w:lineRule="auto"/>
        <w:ind w:left="0" w:leftChars="0" w:right="0" w:rightChars="0" w:firstLine="640" w:firstLineChars="200"/>
        <w:rPr>
          <w:rFonts w:ascii="仿宋" w:hAnsi="仿宋" w:eastAsia="仿宋" w:cs="仿宋"/>
          <w:color w:val="auto"/>
          <w:sz w:val="32"/>
          <w:szCs w:val="32"/>
          <w:highlight w:val="none"/>
        </w:rPr>
      </w:pPr>
    </w:p>
    <w:p w14:paraId="188D8DA2">
      <w:pPr>
        <w:keepNext w:val="0"/>
        <w:keepLines w:val="0"/>
        <w:pageBreakBefore w:val="0"/>
        <w:shd w:val="clear"/>
        <w:kinsoku/>
        <w:wordWrap/>
        <w:overflowPunct/>
        <w:topLinePunct w:val="0"/>
        <w:bidi w:val="0"/>
        <w:adjustRightInd w:val="0"/>
        <w:snapToGrid w:val="0"/>
        <w:spacing w:line="360" w:lineRule="auto"/>
        <w:ind w:left="0" w:leftChars="0" w:right="0" w:rightChars="0" w:firstLine="482" w:firstLineChars="200"/>
        <w:rPr>
          <w:rFonts w:hint="eastAsia" w:ascii="仿宋" w:hAnsi="仿宋" w:eastAsia="仿宋" w:cs="仿宋"/>
          <w:color w:val="auto"/>
          <w:sz w:val="32"/>
          <w:szCs w:val="32"/>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附件2：</w:t>
      </w:r>
    </w:p>
    <w:p w14:paraId="0FB7CD46">
      <w:pPr>
        <w:keepNext w:val="0"/>
        <w:keepLines w:val="0"/>
        <w:pageBreakBefore w:val="0"/>
        <w:widowControl/>
        <w:shd w:val="clear"/>
        <w:kinsoku/>
        <w:wordWrap/>
        <w:overflowPunct/>
        <w:topLinePunct w:val="0"/>
        <w:autoSpaceDE w:val="0"/>
        <w:autoSpaceDN/>
        <w:bidi w:val="0"/>
        <w:adjustRightInd w:val="0"/>
        <w:snapToGrid w:val="0"/>
        <w:spacing w:line="360" w:lineRule="auto"/>
        <w:ind w:left="0" w:leftChars="0" w:right="0" w:rightChars="0" w:firstLine="0" w:firstLineChars="0"/>
        <w:jc w:val="center"/>
        <w:textAlignment w:val="baseline"/>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日常运行维护技术要求</w:t>
      </w:r>
    </w:p>
    <w:p w14:paraId="32763DF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一、主要日常工作</w:t>
      </w:r>
    </w:p>
    <w:p w14:paraId="051523F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1.喷泉喷放时间从每年四月中旬至十月末，约六个月。每天定时喷放喷泉，无节假日，节假日正常表演，天气影响除外，按</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要求时间每天平均表演2次，同时另须满足临时接待表演要求；</w:t>
      </w:r>
    </w:p>
    <w:p w14:paraId="38AA068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2.合同期内喷泉出现故障，</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须在24小时内排除故障完成维修，保证喷泉的正常运行，确保表演效果。特殊情况与</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沟通确定完成维修时间；</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应为24小内排除故障完成维修配备必要的设备、材料。</w:t>
      </w:r>
    </w:p>
    <w:p w14:paraId="3AC67EA2">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3.合同期内保证喷泉表演的整齐度，在每场表演前对数控喷头校准调直；</w:t>
      </w:r>
    </w:p>
    <w:p w14:paraId="08AF9CA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4.服务期内保证表演水位，及时补水；保持水面清洁，有大型的漂浮物及时清理；</w:t>
      </w:r>
    </w:p>
    <w:p w14:paraId="751DE06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5.每年年度表演结束或年度开始表演前，对喷泉设备进行全面大型检查、维修各一次；</w:t>
      </w:r>
    </w:p>
    <w:p w14:paraId="56F6C91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6.服务期内满足维修养护方案要求。</w:t>
      </w:r>
    </w:p>
    <w:p w14:paraId="29AD34B4">
      <w:pPr>
        <w:pStyle w:val="2"/>
        <w:keepNext w:val="0"/>
        <w:keepLines w:val="0"/>
        <w:pageBreakBefore w:val="0"/>
        <w:shd w:val="clear"/>
        <w:kinsoku/>
        <w:wordWrap/>
        <w:overflowPunct/>
        <w:topLinePunct w:val="0"/>
        <w:autoSpaceDN/>
        <w:bidi w:val="0"/>
        <w:adjustRightInd w:val="0"/>
        <w:snapToGrid w:val="0"/>
        <w:spacing w:line="360" w:lineRule="auto"/>
        <w:ind w:left="0" w:leftChars="0" w:right="0" w:rightChars="0" w:firstLine="48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4"/>
          <w:szCs w:val="24"/>
          <w:highlight w:val="none"/>
          <w:lang w:eastAsia="zh-CN"/>
        </w:rPr>
        <w:t xml:space="preserve"> 7.每次维修后将维修和维护设备配件技术参数，设备配件日常维护注意事项、设备配件生产厂家及联系方式形成资料交给甲方。更换下来旧设备配件存放于甲方指定地点；</w:t>
      </w:r>
    </w:p>
    <w:p w14:paraId="7C2C1CB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二、维修养护方案</w:t>
      </w:r>
    </w:p>
    <w:p w14:paraId="4BA5B1D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 日常维护</w:t>
      </w:r>
    </w:p>
    <w:p w14:paraId="4E5D622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1.喷泉运行前：</w:t>
      </w:r>
    </w:p>
    <w:p w14:paraId="13A4027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1）保持水质的清洁，喷泉（池）范围内不得有漂浮物；</w:t>
      </w:r>
    </w:p>
    <w:p w14:paraId="1E54498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2）检查计算机、控制柜的各连接线、数据线之间的连接情况，保证能正常使用；</w:t>
      </w:r>
    </w:p>
    <w:p w14:paraId="198F8F4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3）检查水位是否满足要求，水位一般保持能够淹没水下LED灯为准；</w:t>
      </w:r>
    </w:p>
    <w:p w14:paraId="5180D5F2">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4）保证无游人在喷泉（池栏杆范围内和）池中戏水；</w:t>
      </w:r>
    </w:p>
    <w:p w14:paraId="2F6D0B3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5）检查喷头有无倾斜，保证喷头处在垂直（或正确）位置。</w:t>
      </w:r>
    </w:p>
    <w:p w14:paraId="56E4C8C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6）保证电脑设备、控制软件系统正常运转。</w:t>
      </w:r>
    </w:p>
    <w:p w14:paraId="23C8260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7）检查配电柜三相电源是否正常。</w:t>
      </w:r>
    </w:p>
    <w:p w14:paraId="3452925F">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8）检查控制柜状态是否正常，各分路空开是否已开启。</w:t>
      </w:r>
    </w:p>
    <w:p w14:paraId="1141378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9）检查音响系统是否已开启。</w:t>
      </w:r>
    </w:p>
    <w:p w14:paraId="625CEB12">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10）检查空压机是否已开启，是否达到工作压力。</w:t>
      </w:r>
    </w:p>
    <w:p w14:paraId="795BE83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2.喷泉运行中：</w:t>
      </w:r>
    </w:p>
    <w:p w14:paraId="0590893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1）注意检查每个喷头喷水高度和喷水效果、水下彩灯有无不亮，音响有无不响。如有要在喷泉表演结束后查明原因及时修复；</w:t>
      </w:r>
    </w:p>
    <w:p w14:paraId="50656D4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2）检查空压机、变频器、驱动器是否有异常震动和异常噪声，保证设备正常；</w:t>
      </w:r>
    </w:p>
    <w:p w14:paraId="6B08A95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3）目测各仪表盘读数是否有过载、过流、过压欠压等不正常现象，保证设备处于正常状态；</w:t>
      </w:r>
    </w:p>
    <w:p w14:paraId="690BBE9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4）控制室内和表演现场必须分别有不少于2人值班，要随时互相取得联系，如有意外事故发生应立即切断总电源，操作人员必须持电工证上岗；</w:t>
      </w:r>
    </w:p>
    <w:p w14:paraId="3A98C33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5）控制室内必须不少于2名专业人员操作（持电工证上岗），非专业人员严禁入内;</w:t>
      </w:r>
    </w:p>
    <w:p w14:paraId="408D39F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6）保证水形、灯光变化与音乐节拍基本同步。</w:t>
      </w:r>
    </w:p>
    <w:p w14:paraId="455FE4B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7）备用主机在运行状态，喷泉程序开启，（备用电脑主机应保持可随时开启）若喷泉运行主机出现故障可以保证随时切换至备用主机。</w:t>
      </w:r>
    </w:p>
    <w:p w14:paraId="7EC00AE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3.喷泉运行后：</w:t>
      </w:r>
    </w:p>
    <w:p w14:paraId="5DCC132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1）检查全部喷头、阀门书否堵塞、水型是否整齐，是否需要调整；</w:t>
      </w:r>
    </w:p>
    <w:p w14:paraId="2B42039F">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2）水下灯是否有缺色、不亮、坏点等状态；</w:t>
      </w:r>
    </w:p>
    <w:p w14:paraId="200EFE4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3）数控摇摆喷头是否存在传感器失效、无法找零、摇摆不同步等情况；</w:t>
      </w:r>
    </w:p>
    <w:p w14:paraId="32B01BA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4）控制室内控制柜电器系统是否有跳闸、熔断器烧毁、固态继电器开路、步进电机驱动器失灵、网络系统不可靠等情况。</w:t>
      </w:r>
    </w:p>
    <w:p w14:paraId="4EEC342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5）对损坏设备及时维修更换，确保设备处于良好运行及备用状态。</w:t>
      </w:r>
    </w:p>
    <w:p w14:paraId="7CB5872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6）喷泉现场必须有专人值班；</w:t>
      </w:r>
    </w:p>
    <w:p w14:paraId="6D6110D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7）在每次离开现场时切断控制室内的电源，并做好防盗工作；</w:t>
      </w:r>
    </w:p>
    <w:p w14:paraId="34A3FA8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8）在控制室内不得私自乱接用电器和乱拉电线；</w:t>
      </w:r>
    </w:p>
    <w:p w14:paraId="639574E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9）控制室内必须保持卫生、通风、干燥；</w:t>
      </w:r>
    </w:p>
    <w:p w14:paraId="1EC8E0C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喷泉操作人员严格按照规程操作，控制电脑不得挪做其他用处，严禁在上面打游戏、看电影等娱乐活动，不得随意在可移动盘符连接并且篡改电脑内的数据，严禁随意自行改变喷泉设备的启停顺序，熟悉各类控制柜的范围和所控制的系统范围；</w:t>
      </w:r>
    </w:p>
    <w:p w14:paraId="108066CB">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11）管理人员要有相关上岗证，在管理喷泉、操作设备时要按照国家有关标准进行，对没有按照国家有关标准进行操作所造成的事故由养护单位负全责；</w:t>
      </w:r>
    </w:p>
    <w:p w14:paraId="0433AB0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管理人员名单和联系方式提交给</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养护管理人员需有相对稳定性，如有变更要及时通知</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管理负责人要保持24小时通讯畅通；</w:t>
      </w:r>
    </w:p>
    <w:p w14:paraId="12429B4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13）除</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临时紧急通知</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开启和关闭喷泉外，</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按照规定的时间开启和关闭喷泉，不得擅自更改；</w:t>
      </w:r>
    </w:p>
    <w:p w14:paraId="308E9442">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 喷泉表演期间的周期性维护</w:t>
      </w:r>
    </w:p>
    <w:p w14:paraId="79A8FB3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1.每周检查如下设备</w:t>
      </w:r>
    </w:p>
    <w:p w14:paraId="75547F1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1）喷泉水下灯、水下步进电机、喷头、气爆喷头、跑泉设备等水中设备检查、紧固松动的螺丝，避免灯体进水造成短路故障。</w:t>
      </w:r>
    </w:p>
    <w:p w14:paraId="1FA4E698">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2）管路(包括喷头、阀门)除锈、焊接、油漆、防漏水、更换；</w:t>
      </w:r>
    </w:p>
    <w:p w14:paraId="3558744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3）电气元件、电气设备、电缆、灯参数检测、漏电安全检测、灵敏度检测、绝缘检测、老化检查、更换；</w:t>
      </w:r>
    </w:p>
    <w:p w14:paraId="13EBDC3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4）空压机气阀片、活塞环、空气滤芯等易损件进行老化检查，更换。压缩机润滑油检查，增加。</w:t>
      </w:r>
    </w:p>
    <w:p w14:paraId="4075B34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2.每个月对全体喷泉设备大检（整体调休）一次。</w:t>
      </w:r>
    </w:p>
    <w:p w14:paraId="0AE79CE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3.每月对水泵吸水口进行清洗，防止污物堵塞吸口，降低工效甚至造成设备损坏。</w:t>
      </w:r>
    </w:p>
    <w:p w14:paraId="1ABDC918">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4.每月定期检查水面以上的电线电缆老化情况。大型喷泉工程要定期进行维护，由于水下有大量电线电缆，一定要格外注意防老化、防漏电现象，确保开放时不发生安全事故。</w:t>
      </w:r>
    </w:p>
    <w:p w14:paraId="2F00687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5.每年进行一次喷泉管路清洗维护。</w:t>
      </w:r>
    </w:p>
    <w:p w14:paraId="7D2935A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 季节性维护</w:t>
      </w:r>
    </w:p>
    <w:p w14:paraId="0412CB2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1.喷泉过冬防护</w:t>
      </w:r>
    </w:p>
    <w:p w14:paraId="35614A9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1）喷泉应在气温降至0度以前停止使用，并进入过冬状态。</w:t>
      </w:r>
    </w:p>
    <w:p w14:paraId="7A8AAC5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2）喷泉过冬前对设备全部进行检测，需大修或保养的设备拆下利用过冬期间进行维修。</w:t>
      </w:r>
    </w:p>
    <w:p w14:paraId="6011DFD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3）水池排水，设备在无水状态下过冬。池内不得存水，以免冻坏设备</w:t>
      </w:r>
    </w:p>
    <w:p w14:paraId="5487A99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2.春季恢复</w:t>
      </w:r>
    </w:p>
    <w:p w14:paraId="2D9351C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1）在春季，日常平均气温大于5度以后，喷泉可以恢复启用。</w:t>
      </w:r>
    </w:p>
    <w:p w14:paraId="5926081B">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2）对设备重新进行检测。冬季维修的设备重新安装。</w:t>
      </w:r>
    </w:p>
    <w:p w14:paraId="3CE7120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3）使用前对水泵吸水口进行清理，LED灯清洗检测，水膜喷头进行调整，电磁阀全部进行通断试验检测，数控全部进行调试找零位等。</w:t>
      </w:r>
    </w:p>
    <w:p w14:paraId="373676F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4）冬季进行维修保养的设备进行安装调试。</w:t>
      </w:r>
    </w:p>
    <w:p w14:paraId="2E3BA92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5）气爆管道进行压力试验和泄露性试验，管道螺纹连接处如有漏气，做好标记，重新进行调整连接。</w:t>
      </w:r>
    </w:p>
    <w:p w14:paraId="76B51FA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6）对水泵进行启动检测，对锈死无法启动的的水泵采用敲打震荡、盘轴、电流冲击等方式对其进行恢复启动。</w:t>
      </w:r>
    </w:p>
    <w:p w14:paraId="00C21F6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7）检测完毕后，水池注水。进入整体调试。</w:t>
      </w:r>
    </w:p>
    <w:p w14:paraId="6056F9C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8）控制系统检查。</w:t>
      </w:r>
    </w:p>
    <w:p w14:paraId="704893FB">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9）音响系统检查</w:t>
      </w:r>
    </w:p>
    <w:p w14:paraId="255695E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10）进入曲目表演调试，达到灯光、水型与音乐配合精准，水型喷高、动作准确一致。</w:t>
      </w:r>
    </w:p>
    <w:p w14:paraId="0E70EC2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 专项维修养护方案</w:t>
      </w:r>
    </w:p>
    <w:p w14:paraId="21A4B2C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1.喷泉的水质服务</w:t>
      </w:r>
    </w:p>
    <w:p w14:paraId="46CFE2E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喷泉供水水质符合现行《生活用水卫生标准》规定的感官性状指标要求即：</w:t>
      </w:r>
    </w:p>
    <w:p w14:paraId="6D9DE5F2">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1）色度不超过15度，并不得呈现其它异色，混浊度不超过10度；不得含有肉眼可见物。</w:t>
      </w:r>
    </w:p>
    <w:p w14:paraId="3093A85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2）物化指标：水中杂质含量不大于0.1%杂质粒度不大于0.2毫米；氯离子含量不超过400mm/L值在6.5~8.5范围内</w:t>
      </w:r>
    </w:p>
    <w:p w14:paraId="4F55859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3）当喷泉供水水质出现问题，需要即可对供水水质进行净化，在此期间不可以进行喷泉表演，要等到水质达标方可进行喷泉设备的操作。</w:t>
      </w:r>
    </w:p>
    <w:p w14:paraId="3064947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2.喷头的维护</w:t>
      </w:r>
    </w:p>
    <w:p w14:paraId="43C96B8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1）喷头每个月做一次清理维护，安装时注意喷头与管路连接的紧密性，上喷头时在管路套丝处缠一层生料带，以免出现漏水现象，影响喷水效果，同时做好喷头的防盗措施。</w:t>
      </w:r>
    </w:p>
    <w:p w14:paraId="2CB439D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2）为保证喷泉花型美观一致，随时将变动角度的喷头进行复位，复位时不使用锐利物体敲击，防止喷头损坏。</w:t>
      </w:r>
    </w:p>
    <w:p w14:paraId="02CD435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3.水下彩灯的维护</w:t>
      </w:r>
    </w:p>
    <w:p w14:paraId="5C59CAC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1）水下彩灯是喷泉设备中较易损坏的部件，为降低彩灯的受损率维护单位应做到以下几点：</w:t>
      </w:r>
    </w:p>
    <w:p w14:paraId="05F3B73F">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2）喷泉水下灯每月检查、紧固一次松动的螺丝（特别要关注跑泉），避免灯体进水造成短路故障。</w:t>
      </w:r>
    </w:p>
    <w:p w14:paraId="328B395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3）喷泉（每年表演期间，根据实际灯光效果至少进行一次清洗）每半年进行一次清洗，清洗时特别注意喷头立管及水下彩灯，防止造成水下灯损坏。</w:t>
      </w:r>
    </w:p>
    <w:p w14:paraId="6ED1080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4）在无水的条件下进行更换水下灯，并将螺栓紧固牢靠。</w:t>
      </w:r>
    </w:p>
    <w:p w14:paraId="36A12E0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4.喷泉水泵的维护</w:t>
      </w:r>
    </w:p>
    <w:p w14:paraId="03B8F13F">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1）水泵每运转1000小时应大检一次，半年或连续运转500小时小检一次。检查机组有无损失、紧固件有无松动、电缆有无损伤，另外卸下滤水网，从进水节处转动泵轴应灵活，不得有卡死现象。</w:t>
      </w:r>
    </w:p>
    <w:p w14:paraId="1941365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2）每月清洗喷泉水泵吸水口，防止污物堵塞吸口，降低工效甚至造成设备</w:t>
      </w:r>
      <w:r>
        <w:rPr>
          <w:rFonts w:hint="eastAsia" w:ascii="宋体" w:hAnsi="宋体" w:cs="宋体"/>
          <w:color w:val="auto"/>
          <w:sz w:val="24"/>
          <w:szCs w:val="24"/>
          <w:highlight w:val="none"/>
          <w:lang w:eastAsia="zh-CN"/>
        </w:rPr>
        <w:t>损坏</w:t>
      </w:r>
      <w:r>
        <w:rPr>
          <w:rFonts w:hint="eastAsia" w:ascii="宋体" w:hAnsi="宋体" w:eastAsia="宋体" w:cs="宋体"/>
          <w:color w:val="auto"/>
          <w:sz w:val="24"/>
          <w:szCs w:val="24"/>
          <w:highlight w:val="none"/>
        </w:rPr>
        <w:t>。</w:t>
      </w:r>
    </w:p>
    <w:p w14:paraId="1A91A9A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3）潜水泵在冬季停用期间将冷却水放光，避免结冰损坏泵体，油冷泵需要关闭阀门。</w:t>
      </w:r>
    </w:p>
    <w:p w14:paraId="58E339B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4）水泵出现的故障及排除 </w:t>
      </w:r>
    </w:p>
    <w:p w14:paraId="0A56581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①不出水，间接出水或出水少。</w:t>
      </w:r>
    </w:p>
    <w:p w14:paraId="15404AA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原因：电机未启动、管路堵塞、管路破裂、滤水网堵死、吸水口露出水面、电泵反转、密封环、叶轮损坏。</w:t>
      </w:r>
    </w:p>
    <w:p w14:paraId="29ACF12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措施：排除电路故障、清除堵塞物、补焊或换管、清除堵塞物、调换电源线相序、更换新件</w:t>
      </w:r>
    </w:p>
    <w:p w14:paraId="6CDDB16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②电机不能启动并伴有嗡嗡声。</w:t>
      </w:r>
    </w:p>
    <w:p w14:paraId="45A8C4F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原因：其中一相断路、轴承抱轴、叶轮内有异物、电压低。</w:t>
      </w:r>
    </w:p>
    <w:p w14:paraId="0324CAD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措施：修复线路、修复或更换轴承、清除异物、调整电压。</w:t>
      </w:r>
    </w:p>
    <w:p w14:paraId="655EB02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③电机绕阻对地绝缘电阻偏低、电机绕阻及电缆接头或电缆有损伤、更换绕阻修补接头或电缆。</w:t>
      </w:r>
    </w:p>
    <w:p w14:paraId="3E064C1B">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5.喷泉电缆的维护</w:t>
      </w:r>
    </w:p>
    <w:p w14:paraId="36EE086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1）在无水的条件下进行防水电缆的连接，并用防水胶带、绝缘胶带、高压绝缘胶带进行三层防护，浸入水中24小时检测绝缘电阻不低于100兆欧。</w:t>
      </w:r>
    </w:p>
    <w:p w14:paraId="795ABC0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2）每月定期检查水面以上的电线电缆老化情况，避免不必要的损失。</w:t>
      </w:r>
    </w:p>
    <w:p w14:paraId="0EA2D5C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6.喷泉电器设备的维护</w:t>
      </w:r>
    </w:p>
    <w:p w14:paraId="5CB3853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1）在切断电源的条件下进行电器设备的维护检修，如特殊情况需要带电作业时，做好安全防护措施，重要部位设专人监护。</w:t>
      </w:r>
    </w:p>
    <w:p w14:paraId="4712633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2）对喷泉电器设备定期维护，每半年对柜子里的电器易损设备进行检测级做必要的维护。</w:t>
      </w:r>
    </w:p>
    <w:p w14:paraId="497E692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3）电磁阀膜片更换时将脱落在管道内的物体全部清理干净，按对角线顺序进行紧固螺丝。</w:t>
      </w:r>
    </w:p>
    <w:p w14:paraId="21047B5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7.其他维护</w:t>
      </w:r>
    </w:p>
    <w:p w14:paraId="15B99AC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1）对备用设备定期启动运行，使用频率高的每天一换，使用频率低的一次一换，防止设备性能减退。</w:t>
      </w:r>
    </w:p>
    <w:p w14:paraId="09BE4E0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2）电脑系统每年进行升级，对电脑及程序进行必要的维护。</w:t>
      </w:r>
    </w:p>
    <w:p w14:paraId="76678D9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三、其他</w:t>
      </w:r>
    </w:p>
    <w:p w14:paraId="008DEBD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应当对员工进行安全教育，提供安全防护用具，合同履行期间，如发生安全事故或因</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原因导致的人身、财产损失，由</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自行承担全部法律责任。</w:t>
      </w:r>
    </w:p>
    <w:p w14:paraId="2E5382B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质保期：更换配件部分，自更换后正式投运起一年。</w:t>
      </w:r>
    </w:p>
    <w:p w14:paraId="5660FC69">
      <w:pPr>
        <w:keepNext w:val="0"/>
        <w:keepLines w:val="0"/>
        <w:pageBreakBefore w:val="0"/>
        <w:shd w:val="clear"/>
        <w:kinsoku/>
        <w:wordWrap/>
        <w:overflowPunct/>
        <w:topLinePunct w:val="0"/>
        <w:bidi w:val="0"/>
        <w:adjustRightInd w:val="0"/>
        <w:snapToGrid w:val="0"/>
        <w:spacing w:line="240" w:lineRule="auto"/>
        <w:ind w:left="0" w:leftChars="0" w:right="0" w:rightChars="0" w:firstLine="480" w:firstLineChars="200"/>
        <w:rPr>
          <w:color w:val="auto"/>
          <w:sz w:val="24"/>
          <w:szCs w:val="24"/>
          <w:highlight w:val="none"/>
        </w:rPr>
      </w:pPr>
    </w:p>
    <w:p w14:paraId="36A9B6F6">
      <w:pPr>
        <w:keepNext w:val="0"/>
        <w:keepLines w:val="0"/>
        <w:pageBreakBefore w:val="0"/>
        <w:widowControl/>
        <w:shd w:val="clear"/>
        <w:kinsoku/>
        <w:wordWrap/>
        <w:overflowPunct/>
        <w:topLinePunct w:val="0"/>
        <w:autoSpaceDE w:val="0"/>
        <w:bidi w:val="0"/>
        <w:adjustRightInd w:val="0"/>
        <w:snapToGrid w:val="0"/>
        <w:spacing w:line="360" w:lineRule="auto"/>
        <w:ind w:left="0" w:leftChars="0" w:right="0" w:rightChars="0" w:firstLine="640" w:firstLineChars="200"/>
        <w:textAlignment w:val="baseline"/>
        <w:rPr>
          <w:rFonts w:hint="eastAsia" w:ascii="仿宋" w:hAnsi="仿宋" w:eastAsia="仿宋" w:cs="仿宋"/>
          <w:color w:val="auto"/>
          <w:sz w:val="32"/>
          <w:szCs w:val="32"/>
          <w:highlight w:val="none"/>
        </w:rPr>
      </w:pPr>
    </w:p>
    <w:p w14:paraId="6C742F6B">
      <w:pPr>
        <w:shd w:val="clear"/>
        <w:spacing w:after="0" w:line="360" w:lineRule="auto"/>
        <w:ind w:firstLine="480" w:firstLineChars="200"/>
        <w:rPr>
          <w:rFonts w:hint="eastAsia" w:ascii="宋体" w:hAnsi="宋体"/>
          <w:color w:val="auto"/>
          <w:sz w:val="24"/>
          <w:highlight w:val="none"/>
        </w:rPr>
      </w:pPr>
    </w:p>
    <w:p w14:paraId="14E9440C">
      <w:pPr>
        <w:shd w:val="clear"/>
        <w:rPr>
          <w:rFonts w:hint="eastAsia"/>
          <w:color w:val="auto"/>
          <w:highlight w:val="none"/>
        </w:rPr>
      </w:pPr>
      <w:r>
        <w:rPr>
          <w:rFonts w:hint="eastAsia" w:ascii="宋体" w:hAnsi="宋体"/>
          <w:color w:val="auto"/>
          <w:sz w:val="24"/>
          <w:highlight w:val="none"/>
        </w:rPr>
        <w:br w:type="page"/>
      </w:r>
      <w:r>
        <w:rPr>
          <w:rFonts w:hint="eastAsia" w:ascii="宋体" w:hAnsi="宋体" w:cs="宋体"/>
          <w:b/>
          <w:bCs/>
          <w:color w:val="auto"/>
          <w:sz w:val="24"/>
          <w:highlight w:val="none"/>
        </w:rPr>
        <w:t>附件3：</w:t>
      </w:r>
    </w:p>
    <w:p w14:paraId="31909CDD">
      <w:pPr>
        <w:pStyle w:val="5"/>
        <w:shd w:val="clear"/>
        <w:rPr>
          <w:rFonts w:hint="eastAsia"/>
          <w:color w:val="auto"/>
          <w:highlight w:val="none"/>
        </w:rPr>
      </w:pPr>
    </w:p>
    <w:p w14:paraId="381CE574">
      <w:pPr>
        <w:shd w:val="clear"/>
        <w:ind w:firstLine="1120" w:firstLineChars="400"/>
        <w:rPr>
          <w:color w:val="auto"/>
          <w:highlight w:val="none"/>
        </w:rPr>
      </w:pPr>
      <w:r>
        <w:rPr>
          <w:rFonts w:ascii="黑体" w:eastAsia="黑体" w:cs="黑体"/>
          <w:color w:val="auto"/>
          <w:sz w:val="28"/>
          <w:szCs w:val="28"/>
          <w:highlight w:val="none"/>
        </w:rPr>
        <w:t>大连东港商务区</w:t>
      </w:r>
      <w:r>
        <w:rPr>
          <w:rFonts w:hint="eastAsia" w:ascii="黑体" w:eastAsia="黑体" w:cs="黑体"/>
          <w:color w:val="auto"/>
          <w:sz w:val="28"/>
          <w:szCs w:val="28"/>
          <w:highlight w:val="none"/>
        </w:rPr>
        <w:t>2025年</w:t>
      </w:r>
      <w:r>
        <w:rPr>
          <w:rFonts w:ascii="黑体" w:eastAsia="黑体" w:cs="黑体"/>
          <w:color w:val="auto"/>
          <w:sz w:val="28"/>
          <w:szCs w:val="28"/>
          <w:highlight w:val="none"/>
        </w:rPr>
        <w:t>灯光音乐喷泉运行维护考核细则</w:t>
      </w:r>
    </w:p>
    <w:tbl>
      <w:tblPr>
        <w:tblStyle w:val="17"/>
        <w:tblpPr w:leftFromText="180" w:rightFromText="180" w:vertAnchor="text" w:horzAnchor="page" w:tblpX="1740" w:tblpY="288"/>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252"/>
        <w:gridCol w:w="4519"/>
        <w:gridCol w:w="873"/>
        <w:gridCol w:w="1377"/>
      </w:tblGrid>
      <w:tr w14:paraId="220E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94" w:type="pct"/>
            <w:noWrap w:val="0"/>
            <w:vAlign w:val="center"/>
          </w:tcPr>
          <w:p w14:paraId="4490F786">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序号</w:t>
            </w:r>
          </w:p>
        </w:tc>
        <w:tc>
          <w:tcPr>
            <w:tcW w:w="703" w:type="pct"/>
            <w:noWrap w:val="0"/>
            <w:vAlign w:val="center"/>
          </w:tcPr>
          <w:p w14:paraId="0D8C573E">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内容</w:t>
            </w:r>
          </w:p>
        </w:tc>
        <w:tc>
          <w:tcPr>
            <w:tcW w:w="2537" w:type="pct"/>
            <w:noWrap w:val="0"/>
            <w:vAlign w:val="center"/>
          </w:tcPr>
          <w:p w14:paraId="22D54F32">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扣分依据</w:t>
            </w:r>
          </w:p>
        </w:tc>
        <w:tc>
          <w:tcPr>
            <w:tcW w:w="490" w:type="pct"/>
            <w:noWrap w:val="0"/>
            <w:vAlign w:val="center"/>
          </w:tcPr>
          <w:p w14:paraId="69104A6D">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分值</w:t>
            </w:r>
          </w:p>
        </w:tc>
        <w:tc>
          <w:tcPr>
            <w:tcW w:w="773" w:type="pct"/>
            <w:noWrap w:val="0"/>
            <w:vAlign w:val="center"/>
          </w:tcPr>
          <w:p w14:paraId="5E0251D7">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考核方式</w:t>
            </w:r>
          </w:p>
        </w:tc>
      </w:tr>
      <w:tr w14:paraId="62D9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494" w:type="pct"/>
            <w:vMerge w:val="restart"/>
            <w:noWrap w:val="0"/>
            <w:vAlign w:val="center"/>
          </w:tcPr>
          <w:p w14:paraId="16D50CED">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一</w:t>
            </w:r>
          </w:p>
        </w:tc>
        <w:tc>
          <w:tcPr>
            <w:tcW w:w="703" w:type="pct"/>
            <w:vMerge w:val="restart"/>
            <w:noWrap w:val="0"/>
            <w:vAlign w:val="center"/>
          </w:tcPr>
          <w:p w14:paraId="0CB2003B">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喷放</w:t>
            </w:r>
          </w:p>
        </w:tc>
        <w:tc>
          <w:tcPr>
            <w:tcW w:w="2537" w:type="pct"/>
            <w:noWrap w:val="0"/>
            <w:vAlign w:val="center"/>
          </w:tcPr>
          <w:p w14:paraId="19948B4E">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1、每场喷放表演时间是否按甲方要求及时准点喷放；</w:t>
            </w:r>
          </w:p>
        </w:tc>
        <w:tc>
          <w:tcPr>
            <w:tcW w:w="490" w:type="pct"/>
            <w:noWrap w:val="0"/>
            <w:vAlign w:val="center"/>
          </w:tcPr>
          <w:p w14:paraId="33FD9CDA">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7308F105">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7DF8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3EC9FAC5">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1E578776">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4999AF4E">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2、每场喷放表演音响是否按甲方要求及时准点播放；</w:t>
            </w:r>
          </w:p>
        </w:tc>
        <w:tc>
          <w:tcPr>
            <w:tcW w:w="490" w:type="pct"/>
            <w:noWrap w:val="0"/>
            <w:vAlign w:val="center"/>
          </w:tcPr>
          <w:p w14:paraId="5DA0F844">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15BA08FE">
            <w:pPr>
              <w:shd w:val="clear"/>
              <w:jc w:val="center"/>
              <w:rPr>
                <w:rFonts w:hint="eastAsia" w:ascii="宋体" w:hAnsi="宋体" w:eastAsia="宋体" w:cs="宋体"/>
                <w:b w:val="0"/>
                <w:bCs w:val="0"/>
                <w:color w:val="auto"/>
                <w:sz w:val="24"/>
                <w:szCs w:val="24"/>
                <w:highlight w:val="none"/>
              </w:rPr>
            </w:pPr>
          </w:p>
        </w:tc>
      </w:tr>
      <w:tr w14:paraId="3D41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104A3CEF">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0BED9AE6">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460763A9">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3、每场喷放效果是否良好；</w:t>
            </w:r>
          </w:p>
        </w:tc>
        <w:tc>
          <w:tcPr>
            <w:tcW w:w="490" w:type="pct"/>
            <w:noWrap w:val="0"/>
            <w:vAlign w:val="center"/>
          </w:tcPr>
          <w:p w14:paraId="341DD5F9">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38A8FCD1">
            <w:pPr>
              <w:shd w:val="clear"/>
              <w:jc w:val="center"/>
              <w:rPr>
                <w:rFonts w:hint="eastAsia" w:ascii="宋体" w:hAnsi="宋体" w:eastAsia="宋体" w:cs="宋体"/>
                <w:b w:val="0"/>
                <w:bCs w:val="0"/>
                <w:color w:val="auto"/>
                <w:sz w:val="24"/>
                <w:szCs w:val="24"/>
                <w:highlight w:val="none"/>
              </w:rPr>
            </w:pPr>
          </w:p>
        </w:tc>
      </w:tr>
      <w:tr w14:paraId="3487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2449B7D2">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6381DCAF">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50C4C011">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4、运行维护方案中其它喷放要求；</w:t>
            </w:r>
          </w:p>
        </w:tc>
        <w:tc>
          <w:tcPr>
            <w:tcW w:w="490" w:type="pct"/>
            <w:noWrap w:val="0"/>
            <w:vAlign w:val="center"/>
          </w:tcPr>
          <w:p w14:paraId="501E293A">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4144185A">
            <w:pPr>
              <w:shd w:val="clear"/>
              <w:jc w:val="center"/>
              <w:rPr>
                <w:rFonts w:hint="eastAsia" w:ascii="宋体" w:hAnsi="宋体" w:eastAsia="宋体" w:cs="宋体"/>
                <w:b w:val="0"/>
                <w:bCs w:val="0"/>
                <w:color w:val="auto"/>
                <w:sz w:val="24"/>
                <w:szCs w:val="24"/>
                <w:highlight w:val="none"/>
              </w:rPr>
            </w:pPr>
          </w:p>
        </w:tc>
      </w:tr>
      <w:tr w14:paraId="7FF9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494" w:type="pct"/>
            <w:vMerge w:val="restart"/>
            <w:noWrap w:val="0"/>
            <w:vAlign w:val="center"/>
          </w:tcPr>
          <w:p w14:paraId="73C51ECC">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二</w:t>
            </w:r>
          </w:p>
        </w:tc>
        <w:tc>
          <w:tcPr>
            <w:tcW w:w="703" w:type="pct"/>
            <w:vMerge w:val="restart"/>
            <w:noWrap w:val="0"/>
            <w:vAlign w:val="center"/>
          </w:tcPr>
          <w:p w14:paraId="26DFFFE8">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日常养护</w:t>
            </w:r>
          </w:p>
        </w:tc>
        <w:tc>
          <w:tcPr>
            <w:tcW w:w="2537" w:type="pct"/>
            <w:noWrap w:val="0"/>
            <w:vAlign w:val="center"/>
          </w:tcPr>
          <w:p w14:paraId="59B88205">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1、每日喷泉运行前是否按运行维护方案检查喷泉池、喷泉设备及音响等各类设备；</w:t>
            </w:r>
          </w:p>
        </w:tc>
        <w:tc>
          <w:tcPr>
            <w:tcW w:w="490" w:type="pct"/>
            <w:noWrap w:val="0"/>
            <w:vAlign w:val="center"/>
          </w:tcPr>
          <w:p w14:paraId="5ABEE809">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1F7A9B50">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4ECA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exact"/>
        </w:trPr>
        <w:tc>
          <w:tcPr>
            <w:tcW w:w="494" w:type="pct"/>
            <w:vMerge w:val="continue"/>
            <w:noWrap w:val="0"/>
            <w:vAlign w:val="center"/>
          </w:tcPr>
          <w:p w14:paraId="7CDC52E6">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3485B25B">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1B4A4833">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2、每日喷泉运行中是否按运行维护方案要求使用各种设备、人员是否在岗并按规操作；</w:t>
            </w:r>
          </w:p>
        </w:tc>
        <w:tc>
          <w:tcPr>
            <w:tcW w:w="490" w:type="pct"/>
            <w:noWrap w:val="0"/>
            <w:vAlign w:val="center"/>
          </w:tcPr>
          <w:p w14:paraId="4E6EE80D">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142BA872">
            <w:pPr>
              <w:shd w:val="clear"/>
              <w:jc w:val="center"/>
              <w:rPr>
                <w:rFonts w:hint="eastAsia" w:ascii="宋体" w:hAnsi="宋体" w:eastAsia="宋体" w:cs="宋体"/>
                <w:b w:val="0"/>
                <w:bCs w:val="0"/>
                <w:color w:val="auto"/>
                <w:sz w:val="24"/>
                <w:szCs w:val="24"/>
                <w:highlight w:val="none"/>
              </w:rPr>
            </w:pPr>
          </w:p>
        </w:tc>
      </w:tr>
      <w:tr w14:paraId="5CE7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trPr>
        <w:tc>
          <w:tcPr>
            <w:tcW w:w="494" w:type="pct"/>
            <w:vMerge w:val="continue"/>
            <w:noWrap w:val="0"/>
            <w:vAlign w:val="center"/>
          </w:tcPr>
          <w:p w14:paraId="15141180">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47E6F026">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10665253">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3、喷泉运行后是否按运行维护方案和甲方要求检查并及时养护各类设备；</w:t>
            </w:r>
          </w:p>
        </w:tc>
        <w:tc>
          <w:tcPr>
            <w:tcW w:w="490" w:type="pct"/>
            <w:noWrap w:val="0"/>
            <w:vAlign w:val="center"/>
          </w:tcPr>
          <w:p w14:paraId="2195A8AD">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4955A6E1">
            <w:pPr>
              <w:shd w:val="clear"/>
              <w:jc w:val="center"/>
              <w:rPr>
                <w:rFonts w:hint="eastAsia" w:ascii="宋体" w:hAnsi="宋体" w:eastAsia="宋体" w:cs="宋体"/>
                <w:b w:val="0"/>
                <w:bCs w:val="0"/>
                <w:color w:val="auto"/>
                <w:sz w:val="24"/>
                <w:szCs w:val="24"/>
                <w:highlight w:val="none"/>
              </w:rPr>
            </w:pPr>
          </w:p>
        </w:tc>
      </w:tr>
      <w:tr w14:paraId="331F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trPr>
        <w:tc>
          <w:tcPr>
            <w:tcW w:w="494" w:type="pct"/>
            <w:vMerge w:val="continue"/>
            <w:noWrap w:val="0"/>
            <w:vAlign w:val="center"/>
          </w:tcPr>
          <w:p w14:paraId="4AE2453A">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31920802">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1EABB10F">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4、运行维护方案中其它维护要求。</w:t>
            </w:r>
          </w:p>
        </w:tc>
        <w:tc>
          <w:tcPr>
            <w:tcW w:w="490" w:type="pct"/>
            <w:noWrap w:val="0"/>
            <w:vAlign w:val="center"/>
          </w:tcPr>
          <w:p w14:paraId="5610B7E3">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62D55692">
            <w:pPr>
              <w:shd w:val="clear"/>
              <w:jc w:val="center"/>
              <w:rPr>
                <w:rFonts w:hint="eastAsia" w:ascii="宋体" w:hAnsi="宋体" w:eastAsia="宋体" w:cs="宋体"/>
                <w:b w:val="0"/>
                <w:bCs w:val="0"/>
                <w:color w:val="auto"/>
                <w:sz w:val="24"/>
                <w:szCs w:val="24"/>
                <w:highlight w:val="none"/>
              </w:rPr>
            </w:pPr>
          </w:p>
        </w:tc>
      </w:tr>
      <w:tr w14:paraId="7C24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94" w:type="pct"/>
            <w:vMerge w:val="restart"/>
            <w:noWrap w:val="0"/>
            <w:vAlign w:val="center"/>
          </w:tcPr>
          <w:p w14:paraId="50EF22D6">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三</w:t>
            </w:r>
          </w:p>
        </w:tc>
        <w:tc>
          <w:tcPr>
            <w:tcW w:w="703" w:type="pct"/>
            <w:vMerge w:val="restart"/>
            <w:noWrap w:val="0"/>
            <w:vAlign w:val="center"/>
          </w:tcPr>
          <w:p w14:paraId="2ACB5AC2">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设备检查</w:t>
            </w:r>
          </w:p>
        </w:tc>
        <w:tc>
          <w:tcPr>
            <w:tcW w:w="2537" w:type="pct"/>
            <w:noWrap w:val="0"/>
            <w:vAlign w:val="center"/>
          </w:tcPr>
          <w:p w14:paraId="7880CFC8">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1、喷泉设备出现故障（空压机、变频器、水泵、驱动器、彩灯、音响等），及时检查处理，保证喷泉的正常运行。</w:t>
            </w:r>
          </w:p>
        </w:tc>
        <w:tc>
          <w:tcPr>
            <w:tcW w:w="490" w:type="pct"/>
            <w:noWrap w:val="0"/>
            <w:vAlign w:val="center"/>
          </w:tcPr>
          <w:p w14:paraId="2726A74B">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72936F2A">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05C5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494" w:type="pct"/>
            <w:vMerge w:val="continue"/>
            <w:noWrap w:val="0"/>
            <w:vAlign w:val="center"/>
          </w:tcPr>
          <w:p w14:paraId="23919AA2">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17D0CBBE">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411D7CA3">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2、保证喷泉表演的整齐度，在每场表演前对数控喷头校准调直。</w:t>
            </w:r>
          </w:p>
        </w:tc>
        <w:tc>
          <w:tcPr>
            <w:tcW w:w="490" w:type="pct"/>
            <w:noWrap w:val="0"/>
            <w:vAlign w:val="center"/>
          </w:tcPr>
          <w:p w14:paraId="410BD49E">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2CBCA8FD">
            <w:pPr>
              <w:shd w:val="clear"/>
              <w:jc w:val="center"/>
              <w:rPr>
                <w:rFonts w:hint="eastAsia" w:ascii="宋体" w:hAnsi="宋体" w:eastAsia="宋体" w:cs="宋体"/>
                <w:b w:val="0"/>
                <w:bCs w:val="0"/>
                <w:color w:val="auto"/>
                <w:sz w:val="24"/>
                <w:szCs w:val="24"/>
                <w:highlight w:val="none"/>
              </w:rPr>
            </w:pPr>
          </w:p>
        </w:tc>
      </w:tr>
      <w:tr w14:paraId="2972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2A68A074">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34C0290E">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29799E88">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3、运行维护方案中其它检查要求。</w:t>
            </w:r>
          </w:p>
        </w:tc>
        <w:tc>
          <w:tcPr>
            <w:tcW w:w="490" w:type="pct"/>
            <w:noWrap w:val="0"/>
            <w:vAlign w:val="center"/>
          </w:tcPr>
          <w:p w14:paraId="5BBB425C">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6EB65D54">
            <w:pPr>
              <w:shd w:val="clear"/>
              <w:jc w:val="center"/>
              <w:rPr>
                <w:rFonts w:hint="eastAsia" w:ascii="宋体" w:hAnsi="宋体" w:eastAsia="宋体" w:cs="宋体"/>
                <w:b w:val="0"/>
                <w:bCs w:val="0"/>
                <w:color w:val="auto"/>
                <w:sz w:val="24"/>
                <w:szCs w:val="24"/>
                <w:highlight w:val="none"/>
              </w:rPr>
            </w:pPr>
          </w:p>
        </w:tc>
      </w:tr>
      <w:tr w14:paraId="0395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494" w:type="pct"/>
            <w:noWrap w:val="0"/>
            <w:vAlign w:val="center"/>
          </w:tcPr>
          <w:p w14:paraId="3E3D247F">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四</w:t>
            </w:r>
          </w:p>
        </w:tc>
        <w:tc>
          <w:tcPr>
            <w:tcW w:w="703" w:type="pct"/>
            <w:noWrap w:val="0"/>
            <w:vAlign w:val="center"/>
          </w:tcPr>
          <w:p w14:paraId="559F55E5">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人员配置</w:t>
            </w:r>
          </w:p>
        </w:tc>
        <w:tc>
          <w:tcPr>
            <w:tcW w:w="2537" w:type="pct"/>
            <w:noWrap w:val="0"/>
            <w:vAlign w:val="center"/>
          </w:tcPr>
          <w:p w14:paraId="441BA8C5">
            <w:pPr>
              <w:keepNext w:val="0"/>
              <w:keepLines w:val="0"/>
              <w:pageBreakBefore w:val="0"/>
              <w:widowControl/>
              <w:numPr>
                <w:ilvl w:val="0"/>
                <w:numId w:val="3"/>
              </w:numPr>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现场日常喷放表演维护人员2人，要随时互相取得联系，如有意外事故发生应立即切断总电源。以上人员均需持电工证上岗。</w:t>
            </w:r>
          </w:p>
          <w:p w14:paraId="592753FB">
            <w:pPr>
              <w:keepNext w:val="0"/>
              <w:keepLines w:val="0"/>
              <w:pageBreakBefore w:val="0"/>
              <w:widowControl/>
              <w:numPr>
                <w:ilvl w:val="0"/>
                <w:numId w:val="3"/>
              </w:numPr>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每少1人次扣0.1分。</w:t>
            </w:r>
          </w:p>
        </w:tc>
        <w:tc>
          <w:tcPr>
            <w:tcW w:w="490" w:type="pct"/>
            <w:noWrap w:val="0"/>
            <w:vAlign w:val="center"/>
          </w:tcPr>
          <w:p w14:paraId="53D80993">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noWrap w:val="0"/>
            <w:vAlign w:val="center"/>
          </w:tcPr>
          <w:p w14:paraId="3C5BABAF">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bl>
    <w:p w14:paraId="5AD5F22A">
      <w:pPr>
        <w:shd w:val="clear"/>
        <w:ind w:left="560"/>
        <w:outlineLvl w:val="0"/>
        <w:rPr>
          <w:rFonts w:hint="eastAsia" w:ascii="宋体" w:hAnsi="宋体"/>
          <w:color w:val="auto"/>
          <w:highlight w:val="none"/>
        </w:rPr>
      </w:pPr>
    </w:p>
    <w:p w14:paraId="5FA0DC68">
      <w:pPr>
        <w:shd w:val="clear"/>
        <w:ind w:left="560"/>
        <w:outlineLvl w:val="0"/>
        <w:rPr>
          <w:rFonts w:hint="eastAsia" w:ascii="宋体" w:hAnsi="宋体"/>
          <w:color w:val="auto"/>
          <w:highlight w:val="none"/>
        </w:rPr>
      </w:pPr>
    </w:p>
    <w:p w14:paraId="3B06DA2D">
      <w:pPr>
        <w:shd w:val="clear"/>
        <w:adjustRightInd/>
        <w:snapToGrid/>
        <w:spacing w:after="0"/>
        <w:rPr>
          <w:rFonts w:hint="eastAsia" w:ascii="宋体" w:hAnsi="宋体"/>
          <w:color w:val="auto"/>
          <w:sz w:val="24"/>
          <w:highlight w:val="none"/>
        </w:rPr>
      </w:pPr>
    </w:p>
    <w:p w14:paraId="04D55842">
      <w:pPr>
        <w:shd w:val="clear"/>
        <w:spacing w:after="0" w:line="32" w:lineRule="atLeast"/>
        <w:ind w:right="-2" w:firstLine="480" w:firstLineChars="200"/>
        <w:rPr>
          <w:rFonts w:hint="eastAsia" w:ascii="宋体" w:hAnsi="宋体"/>
          <w:color w:val="auto"/>
          <w:sz w:val="24"/>
          <w:highlight w:val="none"/>
        </w:rPr>
      </w:pPr>
    </w:p>
    <w:p w14:paraId="111017F1">
      <w:pPr>
        <w:shd w:val="clear"/>
        <w:spacing w:after="0" w:line="360" w:lineRule="auto"/>
        <w:ind w:right="-2"/>
        <w:jc w:val="center"/>
        <w:rPr>
          <w:rFonts w:hint="eastAsia" w:ascii="宋体" w:hAnsi="宋体"/>
          <w:b/>
          <w:bCs/>
          <w:color w:val="auto"/>
          <w:sz w:val="44"/>
          <w:highlight w:val="none"/>
        </w:rPr>
      </w:pPr>
    </w:p>
    <w:p w14:paraId="0F1021E2">
      <w:pPr>
        <w:shd w:val="clear"/>
        <w:spacing w:after="0" w:line="360" w:lineRule="auto"/>
        <w:ind w:right="-2"/>
        <w:jc w:val="center"/>
        <w:rPr>
          <w:rFonts w:hint="eastAsia" w:ascii="宋体" w:hAnsi="宋体"/>
          <w:b/>
          <w:color w:val="auto"/>
          <w:sz w:val="44"/>
          <w:szCs w:val="44"/>
          <w:highlight w:val="none"/>
        </w:rPr>
      </w:pPr>
    </w:p>
    <w:p w14:paraId="7EEAEAC2">
      <w:pPr>
        <w:shd w:val="clear"/>
        <w:spacing w:after="0" w:line="360" w:lineRule="auto"/>
        <w:ind w:right="-2"/>
        <w:jc w:val="center"/>
        <w:rPr>
          <w:rFonts w:hint="eastAsia" w:ascii="宋体" w:hAnsi="宋体"/>
          <w:b/>
          <w:color w:val="auto"/>
          <w:sz w:val="44"/>
          <w:szCs w:val="44"/>
          <w:highlight w:val="none"/>
        </w:rPr>
      </w:pPr>
    </w:p>
    <w:p w14:paraId="01551E99">
      <w:pPr>
        <w:shd w:val="clear"/>
        <w:spacing w:after="0" w:line="360" w:lineRule="auto"/>
        <w:ind w:right="-2"/>
        <w:jc w:val="center"/>
        <w:rPr>
          <w:rFonts w:hint="eastAsia" w:ascii="宋体" w:hAnsi="宋体"/>
          <w:b/>
          <w:color w:val="auto"/>
          <w:sz w:val="44"/>
          <w:szCs w:val="44"/>
          <w:highlight w:val="none"/>
        </w:rPr>
      </w:pPr>
    </w:p>
    <w:p w14:paraId="5E073D5F">
      <w:pPr>
        <w:shd w:val="clear"/>
        <w:spacing w:after="0" w:line="360" w:lineRule="auto"/>
        <w:ind w:right="-2"/>
        <w:jc w:val="center"/>
        <w:rPr>
          <w:rFonts w:hint="eastAsia" w:ascii="宋体" w:hAnsi="宋体"/>
          <w:b/>
          <w:color w:val="auto"/>
          <w:sz w:val="44"/>
          <w:szCs w:val="44"/>
          <w:highlight w:val="none"/>
        </w:rPr>
      </w:pPr>
    </w:p>
    <w:p w14:paraId="5E7709E6">
      <w:pPr>
        <w:shd w:val="clear"/>
        <w:spacing w:after="0" w:line="360" w:lineRule="auto"/>
        <w:ind w:right="-2"/>
        <w:jc w:val="center"/>
        <w:rPr>
          <w:rFonts w:hint="eastAsia" w:ascii="宋体" w:hAnsi="宋体"/>
          <w:b/>
          <w:color w:val="auto"/>
          <w:sz w:val="44"/>
          <w:szCs w:val="44"/>
          <w:highlight w:val="none"/>
        </w:rPr>
      </w:pPr>
      <w:r>
        <w:rPr>
          <w:rFonts w:hint="eastAsia" w:ascii="宋体" w:hAnsi="宋体"/>
          <w:b/>
          <w:color w:val="auto"/>
          <w:sz w:val="44"/>
          <w:szCs w:val="44"/>
          <w:highlight w:val="none"/>
        </w:rPr>
        <w:t>第三章 项目需求及服务要求</w:t>
      </w:r>
    </w:p>
    <w:p w14:paraId="2244694A">
      <w:pPr>
        <w:shd w:val="clear"/>
        <w:spacing w:after="0" w:line="288" w:lineRule="auto"/>
        <w:ind w:right="-2"/>
        <w:jc w:val="center"/>
        <w:rPr>
          <w:rFonts w:hint="eastAsia" w:ascii="宋体" w:hAnsi="宋体"/>
          <w:color w:val="auto"/>
          <w:sz w:val="36"/>
          <w:szCs w:val="36"/>
          <w:highlight w:val="none"/>
        </w:rPr>
      </w:pPr>
      <w:r>
        <w:rPr>
          <w:rFonts w:ascii="宋体" w:hAnsi="宋体"/>
          <w:b/>
          <w:color w:val="auto"/>
          <w:sz w:val="44"/>
          <w:szCs w:val="44"/>
          <w:highlight w:val="none"/>
        </w:rPr>
        <w:br w:type="page"/>
      </w:r>
      <w:r>
        <w:rPr>
          <w:rFonts w:hint="eastAsia" w:ascii="宋体" w:hAnsi="宋体"/>
          <w:color w:val="auto"/>
          <w:sz w:val="36"/>
          <w:szCs w:val="36"/>
          <w:highlight w:val="none"/>
        </w:rPr>
        <w:t>项目需求及服务要求</w:t>
      </w:r>
    </w:p>
    <w:p w14:paraId="29837D47">
      <w:pPr>
        <w:shd w:val="clear"/>
        <w:spacing w:after="0" w:line="360" w:lineRule="auto"/>
        <w:ind w:right="-2" w:firstLine="482" w:firstLineChars="200"/>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rPr>
        <w:t>一、项目需求</w:t>
      </w:r>
    </w:p>
    <w:p w14:paraId="76A4CD66">
      <w:pPr>
        <w:keepNext w:val="0"/>
        <w:keepLines w:val="0"/>
        <w:pageBreakBefore w:val="0"/>
        <w:widowControl/>
        <w:shd w:val="clear"/>
        <w:kinsoku/>
        <w:wordWrap/>
        <w:overflowPunct/>
        <w:topLinePunct w:val="0"/>
        <w:autoSpaceDE/>
        <w:autoSpaceDN/>
        <w:bidi w:val="0"/>
        <w:adjustRightInd w:val="0"/>
        <w:snapToGrid w:val="0"/>
        <w:spacing w:after="0" w:line="360" w:lineRule="auto"/>
        <w:ind w:left="480" w:leftChars="218" w:right="0" w:firstLine="0" w:firstLineChars="0"/>
        <w:textAlignment w:val="auto"/>
        <w:rPr>
          <w:rFonts w:hint="eastAsia" w:ascii="宋体" w:hAnsi="宋体" w:cs="宋体"/>
          <w:b/>
          <w:bCs/>
          <w:color w:val="auto"/>
          <w:sz w:val="24"/>
          <w:szCs w:val="24"/>
          <w:highlight w:val="none"/>
        </w:rPr>
      </w:pPr>
      <w:r>
        <w:rPr>
          <w:rFonts w:hint="eastAsia" w:ascii="宋体" w:hAnsi="宋体" w:cs="宋体"/>
          <w:color w:val="auto"/>
          <w:sz w:val="24"/>
          <w:szCs w:val="24"/>
          <w:highlight w:val="none"/>
        </w:rPr>
        <w:t>对灯光音乐喷泉日常的喷放运行、喷泉设备设施巡检保养，及设备维修更换等。</w:t>
      </w:r>
      <w:r>
        <w:rPr>
          <w:rFonts w:ascii="宋体" w:hAnsi="宋体" w:cs="宋体"/>
          <w:color w:val="auto"/>
          <w:sz w:val="24"/>
          <w:szCs w:val="24"/>
          <w:highlight w:val="none"/>
        </w:rPr>
        <w:br w:type="textWrapping"/>
      </w:r>
      <w:r>
        <w:rPr>
          <w:rFonts w:hint="eastAsia" w:ascii="宋体" w:hAnsi="Calibri" w:eastAsia="宋体" w:cs="Times New Roman"/>
          <w:b/>
          <w:color w:val="auto"/>
          <w:kern w:val="2"/>
          <w:sz w:val="24"/>
          <w:szCs w:val="24"/>
          <w:highlight w:val="none"/>
          <w:lang w:val="en-US" w:eastAsia="zh-CN"/>
        </w:rPr>
        <w:t>二、</w:t>
      </w:r>
      <w:r>
        <w:rPr>
          <w:rFonts w:hint="eastAsia" w:ascii="宋体" w:hAnsi="Calibri" w:eastAsia="宋体" w:cs="Times New Roman"/>
          <w:b/>
          <w:color w:val="auto"/>
          <w:kern w:val="2"/>
          <w:sz w:val="24"/>
          <w:szCs w:val="24"/>
          <w:highlight w:val="none"/>
        </w:rPr>
        <w:t>工作量清单</w:t>
      </w:r>
    </w:p>
    <w:tbl>
      <w:tblPr>
        <w:tblStyle w:val="17"/>
        <w:tblW w:w="457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5"/>
        <w:gridCol w:w="1183"/>
        <w:gridCol w:w="4062"/>
        <w:gridCol w:w="682"/>
        <w:gridCol w:w="892"/>
        <w:gridCol w:w="787"/>
      </w:tblGrid>
      <w:tr w14:paraId="1155F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328" w:type="pct"/>
            <w:noWrap w:val="0"/>
            <w:vAlign w:val="center"/>
          </w:tcPr>
          <w:p w14:paraId="4F5CBE93">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726" w:type="pct"/>
            <w:noWrap w:val="0"/>
            <w:vAlign w:val="center"/>
          </w:tcPr>
          <w:p w14:paraId="7C87B9FB">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2494" w:type="pct"/>
            <w:noWrap w:val="0"/>
            <w:vAlign w:val="center"/>
          </w:tcPr>
          <w:p w14:paraId="690F6A8E">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项目特征描述</w:t>
            </w:r>
          </w:p>
        </w:tc>
        <w:tc>
          <w:tcPr>
            <w:tcW w:w="418" w:type="pct"/>
            <w:noWrap w:val="0"/>
            <w:vAlign w:val="center"/>
          </w:tcPr>
          <w:p w14:paraId="7A3D02FD">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w:t>
            </w:r>
          </w:p>
        </w:tc>
        <w:tc>
          <w:tcPr>
            <w:tcW w:w="547" w:type="pct"/>
            <w:tcBorders>
              <w:right w:val="single" w:color="auto" w:sz="4" w:space="0"/>
            </w:tcBorders>
            <w:noWrap w:val="0"/>
            <w:vAlign w:val="center"/>
          </w:tcPr>
          <w:p w14:paraId="55129330">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工程量</w:t>
            </w:r>
          </w:p>
        </w:tc>
        <w:tc>
          <w:tcPr>
            <w:tcW w:w="483" w:type="pct"/>
            <w:tcBorders>
              <w:left w:val="single" w:color="auto" w:sz="4" w:space="0"/>
            </w:tcBorders>
            <w:noWrap w:val="0"/>
            <w:vAlign w:val="center"/>
          </w:tcPr>
          <w:p w14:paraId="38D09B43">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tc>
      </w:tr>
      <w:tr w14:paraId="4D61E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16" w:type="pct"/>
            <w:gridSpan w:val="5"/>
            <w:tcBorders>
              <w:right w:val="single" w:color="auto" w:sz="4" w:space="0"/>
            </w:tcBorders>
            <w:noWrap w:val="0"/>
            <w:vAlign w:val="center"/>
          </w:tcPr>
          <w:p w14:paraId="41DACBDD">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left"/>
              <w:textAlignment w:val="baseline"/>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一、日常喷放及巡检保养</w:t>
            </w:r>
          </w:p>
        </w:tc>
        <w:tc>
          <w:tcPr>
            <w:tcW w:w="483" w:type="pct"/>
            <w:tcBorders>
              <w:left w:val="single" w:color="auto" w:sz="4" w:space="0"/>
            </w:tcBorders>
            <w:noWrap w:val="0"/>
            <w:vAlign w:val="center"/>
          </w:tcPr>
          <w:p w14:paraId="177D7BDE">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b/>
                <w:bCs/>
                <w:color w:val="auto"/>
                <w:sz w:val="22"/>
                <w:szCs w:val="22"/>
                <w:highlight w:val="none"/>
                <w:lang w:val="en-US" w:eastAsia="zh-CN"/>
              </w:rPr>
            </w:pPr>
          </w:p>
        </w:tc>
      </w:tr>
      <w:tr w14:paraId="5B7E8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50A1245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26" w:type="pct"/>
            <w:noWrap w:val="0"/>
            <w:vAlign w:val="center"/>
          </w:tcPr>
          <w:p w14:paraId="32459A7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操作人员工资</w:t>
            </w:r>
          </w:p>
        </w:tc>
        <w:tc>
          <w:tcPr>
            <w:tcW w:w="2494" w:type="pct"/>
            <w:noWrap w:val="0"/>
            <w:vAlign w:val="center"/>
          </w:tcPr>
          <w:p w14:paraId="1127987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操作人员工日计算。每年5月1日至10月30日，每个人共计184个工日，2个人共368工日。</w:t>
            </w:r>
          </w:p>
        </w:tc>
        <w:tc>
          <w:tcPr>
            <w:tcW w:w="418" w:type="pct"/>
            <w:noWrap w:val="0"/>
            <w:vAlign w:val="center"/>
          </w:tcPr>
          <w:p w14:paraId="2A3BBCD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工日</w:t>
            </w:r>
          </w:p>
        </w:tc>
        <w:tc>
          <w:tcPr>
            <w:tcW w:w="547" w:type="pct"/>
            <w:noWrap w:val="0"/>
            <w:vAlign w:val="center"/>
          </w:tcPr>
          <w:p w14:paraId="20C6416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368</w:t>
            </w:r>
          </w:p>
        </w:tc>
        <w:tc>
          <w:tcPr>
            <w:tcW w:w="483" w:type="pct"/>
            <w:noWrap w:val="0"/>
            <w:vAlign w:val="center"/>
          </w:tcPr>
          <w:p w14:paraId="1708B6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15FB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3B39CD2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726" w:type="pct"/>
            <w:noWrap w:val="0"/>
            <w:vAlign w:val="center"/>
          </w:tcPr>
          <w:p w14:paraId="16331B3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节假日及接待活动保障人员工资</w:t>
            </w:r>
          </w:p>
        </w:tc>
        <w:tc>
          <w:tcPr>
            <w:tcW w:w="2494" w:type="pct"/>
            <w:noWrap w:val="0"/>
            <w:vAlign w:val="center"/>
          </w:tcPr>
          <w:p w14:paraId="1868B4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劳动节（3天）、国庆节（7天）等国家相关节日以及接待活动（每月2次）等，保障人员工资；（保障人员不低于2人）</w:t>
            </w:r>
          </w:p>
        </w:tc>
        <w:tc>
          <w:tcPr>
            <w:tcW w:w="418" w:type="pct"/>
            <w:noWrap w:val="0"/>
            <w:vAlign w:val="center"/>
          </w:tcPr>
          <w:p w14:paraId="7B96921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工日</w:t>
            </w:r>
          </w:p>
        </w:tc>
        <w:tc>
          <w:tcPr>
            <w:tcW w:w="547" w:type="pct"/>
            <w:noWrap w:val="0"/>
            <w:vAlign w:val="center"/>
          </w:tcPr>
          <w:p w14:paraId="71E50B0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44</w:t>
            </w:r>
          </w:p>
        </w:tc>
        <w:tc>
          <w:tcPr>
            <w:tcW w:w="483" w:type="pct"/>
            <w:noWrap w:val="0"/>
            <w:vAlign w:val="center"/>
          </w:tcPr>
          <w:p w14:paraId="6D72193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2B03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6222A85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726" w:type="pct"/>
            <w:noWrap w:val="0"/>
            <w:vAlign w:val="center"/>
          </w:tcPr>
          <w:p w14:paraId="30DA778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一维数控DN65养护</w:t>
            </w:r>
          </w:p>
        </w:tc>
        <w:tc>
          <w:tcPr>
            <w:tcW w:w="2494" w:type="pct"/>
            <w:noWrap w:val="0"/>
            <w:vAlign w:val="center"/>
          </w:tcPr>
          <w:p w14:paraId="7638343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一维数控DN65养护包含：</w:t>
            </w:r>
          </w:p>
          <w:p w14:paraId="4154D00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1.每天一次一维数控检查、调试（线路、电机、角度等检查及调试）</w:t>
            </w:r>
          </w:p>
          <w:p w14:paraId="0B491D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2.每月一次大检查（检查机组有无损失、紧固件有无松动、电缆有无损伤）</w:t>
            </w:r>
          </w:p>
        </w:tc>
        <w:tc>
          <w:tcPr>
            <w:tcW w:w="418" w:type="pct"/>
            <w:noWrap w:val="0"/>
            <w:vAlign w:val="center"/>
          </w:tcPr>
          <w:p w14:paraId="45D0A7B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4FAA8A6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315</w:t>
            </w:r>
          </w:p>
        </w:tc>
        <w:tc>
          <w:tcPr>
            <w:tcW w:w="483" w:type="pct"/>
            <w:noWrap w:val="0"/>
            <w:vAlign w:val="center"/>
          </w:tcPr>
          <w:p w14:paraId="00C504C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0A20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530C734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726" w:type="pct"/>
            <w:noWrap w:val="0"/>
            <w:vAlign w:val="center"/>
          </w:tcPr>
          <w:p w14:paraId="76D281E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驱动器养护</w:t>
            </w:r>
          </w:p>
        </w:tc>
        <w:tc>
          <w:tcPr>
            <w:tcW w:w="2494" w:type="pct"/>
            <w:noWrap w:val="0"/>
            <w:vAlign w:val="center"/>
          </w:tcPr>
          <w:p w14:paraId="7906173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驱动器养护包含：</w:t>
            </w:r>
          </w:p>
          <w:p w14:paraId="651E3B8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1.每天一次驱动器检查、调试（线路、驱动器信号、复位等检查及调试）</w:t>
            </w:r>
          </w:p>
          <w:p w14:paraId="08BB8BB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2.每月一次大检查（检查驱动器有无损失、接头有无松动、电缆有无损伤）</w:t>
            </w:r>
          </w:p>
        </w:tc>
        <w:tc>
          <w:tcPr>
            <w:tcW w:w="418" w:type="pct"/>
            <w:noWrap w:val="0"/>
            <w:vAlign w:val="center"/>
          </w:tcPr>
          <w:p w14:paraId="2FF4822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76AF2E2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315</w:t>
            </w:r>
          </w:p>
        </w:tc>
        <w:tc>
          <w:tcPr>
            <w:tcW w:w="483" w:type="pct"/>
            <w:noWrap w:val="0"/>
            <w:vAlign w:val="center"/>
          </w:tcPr>
          <w:p w14:paraId="32FAC40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D4FD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08B7AC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726" w:type="pct"/>
            <w:noWrap w:val="0"/>
            <w:vAlign w:val="center"/>
          </w:tcPr>
          <w:p w14:paraId="14FEEFB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气爆装置养护</w:t>
            </w:r>
          </w:p>
        </w:tc>
        <w:tc>
          <w:tcPr>
            <w:tcW w:w="2494" w:type="pct"/>
            <w:noWrap w:val="0"/>
            <w:vAlign w:val="center"/>
          </w:tcPr>
          <w:p w14:paraId="382A964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气爆装置养护包含：</w:t>
            </w:r>
          </w:p>
          <w:p w14:paraId="4A958F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1.每天一次管道压力检查测试；</w:t>
            </w:r>
          </w:p>
          <w:p w14:paraId="7CB745C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2.气爆装置检查；（检查气爆有无倾倒、有无松动、阀板偏心等情况）</w:t>
            </w:r>
          </w:p>
          <w:p w14:paraId="2C78FD9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3.气爆喷放是否垂直等检查；</w:t>
            </w:r>
          </w:p>
          <w:p w14:paraId="0D2A7AD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4.设备除锈、清理。</w:t>
            </w:r>
          </w:p>
        </w:tc>
        <w:tc>
          <w:tcPr>
            <w:tcW w:w="418" w:type="pct"/>
            <w:noWrap w:val="0"/>
            <w:vAlign w:val="center"/>
          </w:tcPr>
          <w:p w14:paraId="2C43793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A26D4B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171</w:t>
            </w:r>
          </w:p>
        </w:tc>
        <w:tc>
          <w:tcPr>
            <w:tcW w:w="483" w:type="pct"/>
            <w:noWrap w:val="0"/>
            <w:vAlign w:val="center"/>
          </w:tcPr>
          <w:p w14:paraId="02BA7AB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6858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21574FA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w:t>
            </w:r>
          </w:p>
        </w:tc>
        <w:tc>
          <w:tcPr>
            <w:tcW w:w="726" w:type="pct"/>
            <w:noWrap w:val="0"/>
            <w:vAlign w:val="center"/>
          </w:tcPr>
          <w:p w14:paraId="0DD083B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阀门检查接线多通电磁阀</w:t>
            </w:r>
          </w:p>
        </w:tc>
        <w:tc>
          <w:tcPr>
            <w:tcW w:w="2494" w:type="pct"/>
            <w:noWrap w:val="0"/>
            <w:vAlign w:val="center"/>
          </w:tcPr>
          <w:p w14:paraId="50CF67F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电磁阀养护包含：</w:t>
            </w:r>
          </w:p>
          <w:p w14:paraId="15CCD38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1.每天一次检查（包含电磁阀开启是否正常，是否有泄露、电磁阀膜片是否有异常等情况）；</w:t>
            </w:r>
          </w:p>
          <w:p w14:paraId="3FDFF8E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w:t>
            </w:r>
          </w:p>
        </w:tc>
        <w:tc>
          <w:tcPr>
            <w:tcW w:w="418" w:type="pct"/>
            <w:noWrap w:val="0"/>
            <w:vAlign w:val="center"/>
          </w:tcPr>
          <w:p w14:paraId="3393006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23FB1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181</w:t>
            </w:r>
          </w:p>
        </w:tc>
        <w:tc>
          <w:tcPr>
            <w:tcW w:w="483" w:type="pct"/>
            <w:noWrap w:val="0"/>
            <w:vAlign w:val="center"/>
          </w:tcPr>
          <w:p w14:paraId="04CED1F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79F2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74BDBD4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w:t>
            </w:r>
          </w:p>
        </w:tc>
        <w:tc>
          <w:tcPr>
            <w:tcW w:w="726" w:type="pct"/>
            <w:noWrap w:val="0"/>
            <w:vAlign w:val="center"/>
          </w:tcPr>
          <w:p w14:paraId="0CDBFB8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空压机保养</w:t>
            </w:r>
          </w:p>
        </w:tc>
        <w:tc>
          <w:tcPr>
            <w:tcW w:w="2494" w:type="pct"/>
            <w:noWrap w:val="0"/>
            <w:vAlign w:val="center"/>
          </w:tcPr>
          <w:p w14:paraId="17C4024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空压机保养包含：</w:t>
            </w:r>
          </w:p>
          <w:p w14:paraId="4B4F0EA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1.每天检查空压机是否已开启，是否达到工作压力；</w:t>
            </w:r>
          </w:p>
          <w:p w14:paraId="3376000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2.机器运作是否有异响，机油等消耗材料准备充实，及时保养；</w:t>
            </w:r>
          </w:p>
        </w:tc>
        <w:tc>
          <w:tcPr>
            <w:tcW w:w="418" w:type="pct"/>
            <w:noWrap w:val="0"/>
            <w:vAlign w:val="center"/>
          </w:tcPr>
          <w:p w14:paraId="5ED64AA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BBDB3C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483" w:type="pct"/>
            <w:noWrap w:val="0"/>
            <w:vAlign w:val="center"/>
          </w:tcPr>
          <w:p w14:paraId="6028235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713C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781332F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w:t>
            </w:r>
          </w:p>
        </w:tc>
        <w:tc>
          <w:tcPr>
            <w:tcW w:w="726" w:type="pct"/>
            <w:noWrap w:val="0"/>
            <w:vAlign w:val="center"/>
          </w:tcPr>
          <w:p w14:paraId="61D212E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水膜养护</w:t>
            </w:r>
          </w:p>
        </w:tc>
        <w:tc>
          <w:tcPr>
            <w:tcW w:w="2494" w:type="pct"/>
            <w:noWrap w:val="0"/>
            <w:vAlign w:val="center"/>
          </w:tcPr>
          <w:p w14:paraId="4F4BB12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水膜养护包含：</w:t>
            </w:r>
          </w:p>
          <w:p w14:paraId="0FAC7A7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1.水膜喷头进行调整；</w:t>
            </w:r>
          </w:p>
          <w:p w14:paraId="3C25B8E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2.水膜喷头每周一次清理及调试；</w:t>
            </w:r>
          </w:p>
        </w:tc>
        <w:tc>
          <w:tcPr>
            <w:tcW w:w="418" w:type="pct"/>
            <w:noWrap w:val="0"/>
            <w:vAlign w:val="center"/>
          </w:tcPr>
          <w:p w14:paraId="5E6EFE9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个</w:t>
            </w:r>
          </w:p>
        </w:tc>
        <w:tc>
          <w:tcPr>
            <w:tcW w:w="547" w:type="pct"/>
            <w:noWrap w:val="0"/>
            <w:vAlign w:val="center"/>
          </w:tcPr>
          <w:p w14:paraId="7E25868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83" w:type="pct"/>
            <w:noWrap w:val="0"/>
            <w:vAlign w:val="center"/>
          </w:tcPr>
          <w:p w14:paraId="43F0C7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54B2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64B2507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9</w:t>
            </w:r>
          </w:p>
        </w:tc>
        <w:tc>
          <w:tcPr>
            <w:tcW w:w="726" w:type="pct"/>
            <w:noWrap w:val="0"/>
            <w:vAlign w:val="center"/>
          </w:tcPr>
          <w:p w14:paraId="6A2A753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w:t>
            </w:r>
          </w:p>
        </w:tc>
        <w:tc>
          <w:tcPr>
            <w:tcW w:w="2494" w:type="pct"/>
            <w:noWrap w:val="0"/>
            <w:vAlign w:val="center"/>
          </w:tcPr>
          <w:p w14:paraId="3B55214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水泵5.5KW养护包含：1.日常喷泉检查；（进行启动检测，对锈死无法启动的的水泵采用敲打震荡、盘轴、电流冲击等方式对其进行恢复启动。)</w:t>
            </w:r>
          </w:p>
          <w:p w14:paraId="2CBBB1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6D19D7B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63DF5B8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0DA940A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08A0276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3B64150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366</w:t>
            </w:r>
          </w:p>
        </w:tc>
        <w:tc>
          <w:tcPr>
            <w:tcW w:w="483" w:type="pct"/>
            <w:noWrap w:val="0"/>
            <w:vAlign w:val="center"/>
          </w:tcPr>
          <w:p w14:paraId="427674E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000C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75584E8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726" w:type="pct"/>
            <w:noWrap w:val="0"/>
            <w:vAlign w:val="center"/>
          </w:tcPr>
          <w:p w14:paraId="1E6E1F4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水泵3KW养护</w:t>
            </w:r>
          </w:p>
        </w:tc>
        <w:tc>
          <w:tcPr>
            <w:tcW w:w="2494" w:type="pct"/>
            <w:noWrap w:val="0"/>
            <w:vAlign w:val="center"/>
          </w:tcPr>
          <w:p w14:paraId="14B9275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水泵3KW养护包含：</w:t>
            </w:r>
          </w:p>
          <w:p w14:paraId="68873A8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5FE6972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1FE60E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7AFF4D3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1DA75A9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42FFB02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2CBF52D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48</w:t>
            </w:r>
          </w:p>
        </w:tc>
        <w:tc>
          <w:tcPr>
            <w:tcW w:w="483" w:type="pct"/>
            <w:noWrap w:val="0"/>
            <w:vAlign w:val="center"/>
          </w:tcPr>
          <w:p w14:paraId="3C3D214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6EBE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5D947B0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11</w:t>
            </w:r>
          </w:p>
        </w:tc>
        <w:tc>
          <w:tcPr>
            <w:tcW w:w="726" w:type="pct"/>
            <w:noWrap w:val="0"/>
            <w:vAlign w:val="center"/>
          </w:tcPr>
          <w:p w14:paraId="180B02B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水泵1.1KW养护</w:t>
            </w:r>
          </w:p>
        </w:tc>
        <w:tc>
          <w:tcPr>
            <w:tcW w:w="2494" w:type="pct"/>
            <w:noWrap w:val="0"/>
            <w:vAlign w:val="center"/>
          </w:tcPr>
          <w:p w14:paraId="6DD428E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水泵1.1KW养护包含：</w:t>
            </w:r>
          </w:p>
          <w:p w14:paraId="55A3EF1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0FA78D5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663F1D7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2E60E4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7ED9E9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0264497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21842F3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83" w:type="pct"/>
            <w:noWrap w:val="0"/>
            <w:vAlign w:val="center"/>
          </w:tcPr>
          <w:p w14:paraId="631495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F6D2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3C13A97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w:t>
            </w:r>
          </w:p>
        </w:tc>
        <w:tc>
          <w:tcPr>
            <w:tcW w:w="726" w:type="pct"/>
            <w:noWrap w:val="0"/>
            <w:vAlign w:val="center"/>
          </w:tcPr>
          <w:p w14:paraId="538F9A0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水泵37KW养护</w:t>
            </w:r>
          </w:p>
        </w:tc>
        <w:tc>
          <w:tcPr>
            <w:tcW w:w="2494" w:type="pct"/>
            <w:noWrap w:val="0"/>
            <w:vAlign w:val="center"/>
          </w:tcPr>
          <w:p w14:paraId="07EB6C5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水泵37KW养护包含：</w:t>
            </w:r>
          </w:p>
          <w:p w14:paraId="2178BDE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70633D7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3EA166B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4644B5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1187E69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4450394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4C7E194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83" w:type="pct"/>
            <w:noWrap w:val="0"/>
            <w:vAlign w:val="center"/>
          </w:tcPr>
          <w:p w14:paraId="7105DA0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297C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00115C2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13</w:t>
            </w:r>
          </w:p>
        </w:tc>
        <w:tc>
          <w:tcPr>
            <w:tcW w:w="726" w:type="pct"/>
            <w:noWrap w:val="0"/>
            <w:vAlign w:val="center"/>
          </w:tcPr>
          <w:p w14:paraId="1F1DC91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w:t>
            </w:r>
          </w:p>
        </w:tc>
        <w:tc>
          <w:tcPr>
            <w:tcW w:w="2494" w:type="pct"/>
            <w:noWrap w:val="0"/>
            <w:vAlign w:val="center"/>
          </w:tcPr>
          <w:p w14:paraId="79EE187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水泵55KW养护包含：</w:t>
            </w:r>
          </w:p>
          <w:p w14:paraId="1705015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562B9DB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58F259A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68C595B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0BD3B9F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222136B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5BC2214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83" w:type="pct"/>
            <w:noWrap w:val="0"/>
            <w:vAlign w:val="center"/>
          </w:tcPr>
          <w:p w14:paraId="0390AA0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324A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34D127F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14</w:t>
            </w:r>
          </w:p>
        </w:tc>
        <w:tc>
          <w:tcPr>
            <w:tcW w:w="726" w:type="pct"/>
            <w:noWrap w:val="0"/>
            <w:vAlign w:val="center"/>
          </w:tcPr>
          <w:p w14:paraId="17ACEDD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排污泵5.5KW养护</w:t>
            </w:r>
          </w:p>
        </w:tc>
        <w:tc>
          <w:tcPr>
            <w:tcW w:w="2494" w:type="pct"/>
            <w:noWrap w:val="0"/>
            <w:vAlign w:val="center"/>
          </w:tcPr>
          <w:p w14:paraId="56421DD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排污泵5.5KW养护包含：</w:t>
            </w:r>
          </w:p>
          <w:p w14:paraId="6DA10FF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2956318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76E21E1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4AFCD85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7199FB2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428CD79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602BF0D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483" w:type="pct"/>
            <w:noWrap w:val="0"/>
            <w:vAlign w:val="center"/>
          </w:tcPr>
          <w:p w14:paraId="4AF18C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41B8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0581810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w:t>
            </w:r>
          </w:p>
        </w:tc>
        <w:tc>
          <w:tcPr>
            <w:tcW w:w="726" w:type="pct"/>
            <w:noWrap w:val="0"/>
            <w:vAlign w:val="center"/>
          </w:tcPr>
          <w:p w14:paraId="11EE98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导水泵5.5KW养护</w:t>
            </w:r>
          </w:p>
        </w:tc>
        <w:tc>
          <w:tcPr>
            <w:tcW w:w="2494" w:type="pct"/>
            <w:noWrap w:val="0"/>
            <w:vAlign w:val="center"/>
          </w:tcPr>
          <w:p w14:paraId="614FD55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导水泵5.5KW养护包含：</w:t>
            </w:r>
          </w:p>
          <w:p w14:paraId="425C6F8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61E4A4C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7838462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0CE752F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2F637A0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769B064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3115E87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483" w:type="pct"/>
            <w:noWrap w:val="0"/>
            <w:vAlign w:val="center"/>
          </w:tcPr>
          <w:p w14:paraId="6D68627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AA4D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25744F6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726" w:type="pct"/>
            <w:noWrap w:val="0"/>
            <w:vAlign w:val="center"/>
          </w:tcPr>
          <w:p w14:paraId="2FB1557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LED水下灯125W养护</w:t>
            </w:r>
          </w:p>
        </w:tc>
        <w:tc>
          <w:tcPr>
            <w:tcW w:w="2494" w:type="pct"/>
            <w:noWrap w:val="0"/>
            <w:vAlign w:val="center"/>
          </w:tcPr>
          <w:p w14:paraId="0C4CD88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LED水下灯125W养护包含：</w:t>
            </w:r>
          </w:p>
          <w:p w14:paraId="4A9FAC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1.每天检查水下灯灯光亮度及颜色是否正常，水下灯是否有缺色、不亮、坏点等状态；</w:t>
            </w:r>
          </w:p>
          <w:p w14:paraId="267AB32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2.灯具表面清理；</w:t>
            </w:r>
          </w:p>
          <w:p w14:paraId="5ED9391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459165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p w14:paraId="24EC653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5.喷泉水下灯紧固松动的螺丝，避免灯体进水造成短路故障。</w:t>
            </w:r>
          </w:p>
        </w:tc>
        <w:tc>
          <w:tcPr>
            <w:tcW w:w="418" w:type="pct"/>
            <w:noWrap w:val="0"/>
            <w:vAlign w:val="center"/>
          </w:tcPr>
          <w:p w14:paraId="177F381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10套</w:t>
            </w:r>
          </w:p>
        </w:tc>
        <w:tc>
          <w:tcPr>
            <w:tcW w:w="547" w:type="pct"/>
            <w:noWrap w:val="0"/>
            <w:vAlign w:val="center"/>
          </w:tcPr>
          <w:p w14:paraId="20B372E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277.6</w:t>
            </w:r>
          </w:p>
        </w:tc>
        <w:tc>
          <w:tcPr>
            <w:tcW w:w="483" w:type="pct"/>
            <w:noWrap w:val="0"/>
            <w:vAlign w:val="center"/>
          </w:tcPr>
          <w:p w14:paraId="1A0B47C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EC2A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3DC62FD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w:t>
            </w:r>
          </w:p>
        </w:tc>
        <w:tc>
          <w:tcPr>
            <w:tcW w:w="726" w:type="pct"/>
            <w:noWrap w:val="0"/>
            <w:vAlign w:val="center"/>
          </w:tcPr>
          <w:p w14:paraId="760D169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计算机系统硬件检查试验工控计算机</w:t>
            </w:r>
          </w:p>
        </w:tc>
        <w:tc>
          <w:tcPr>
            <w:tcW w:w="2494" w:type="pct"/>
            <w:noWrap w:val="0"/>
            <w:vAlign w:val="center"/>
          </w:tcPr>
          <w:p w14:paraId="427F355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控制系统养护包含：</w:t>
            </w:r>
          </w:p>
          <w:p w14:paraId="1EF56F4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1.控制软件及硬件是否运行正常，检查线路、信号是否正常；</w:t>
            </w:r>
          </w:p>
          <w:p w14:paraId="19D2DEC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2.保证电脑设备、控制软件系统正常运转。</w:t>
            </w:r>
          </w:p>
          <w:p w14:paraId="61D5C7D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3.备用主机在运行状态，喷泉程序开启，（备用电脑主机应保持可随时开启）若喷泉运行主机出现故障可以保证随时切换至备用主机。</w:t>
            </w:r>
          </w:p>
        </w:tc>
        <w:tc>
          <w:tcPr>
            <w:tcW w:w="418" w:type="pct"/>
            <w:noWrap w:val="0"/>
            <w:vAlign w:val="center"/>
          </w:tcPr>
          <w:p w14:paraId="292D7F9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c>
          <w:tcPr>
            <w:tcW w:w="547" w:type="pct"/>
            <w:noWrap w:val="0"/>
            <w:vAlign w:val="center"/>
          </w:tcPr>
          <w:p w14:paraId="6629275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83" w:type="pct"/>
            <w:noWrap w:val="0"/>
            <w:vAlign w:val="center"/>
          </w:tcPr>
          <w:p w14:paraId="77CF6EA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138E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57840AE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w:t>
            </w:r>
          </w:p>
        </w:tc>
        <w:tc>
          <w:tcPr>
            <w:tcW w:w="726" w:type="pct"/>
            <w:noWrap w:val="0"/>
            <w:vAlign w:val="center"/>
          </w:tcPr>
          <w:p w14:paraId="338E8C4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投影设备配电柜养护</w:t>
            </w:r>
          </w:p>
        </w:tc>
        <w:tc>
          <w:tcPr>
            <w:tcW w:w="2494" w:type="pct"/>
            <w:noWrap w:val="0"/>
            <w:vAlign w:val="center"/>
          </w:tcPr>
          <w:p w14:paraId="0EDF5CA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投影设备配电柜养护包含：</w:t>
            </w:r>
          </w:p>
          <w:p w14:paraId="6090819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1.控制柜内电气元件检查及维护；</w:t>
            </w:r>
          </w:p>
          <w:p w14:paraId="03DDBF3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2.制室柜内不得私自乱接用电器和乱拉电线；</w:t>
            </w:r>
          </w:p>
          <w:p w14:paraId="6F11039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3.检查配电柜三相电源是否正常。</w:t>
            </w:r>
          </w:p>
          <w:p w14:paraId="507EC93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4.检查控制柜状态是否正常，各分路空开是否已开启。</w:t>
            </w:r>
          </w:p>
          <w:p w14:paraId="2BB0896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5.各仪表盘读数是否有过载、过流、过压欠压等不正常现象，保证设备处于正常状态；</w:t>
            </w:r>
          </w:p>
        </w:tc>
        <w:tc>
          <w:tcPr>
            <w:tcW w:w="418" w:type="pct"/>
            <w:noWrap w:val="0"/>
            <w:vAlign w:val="center"/>
          </w:tcPr>
          <w:p w14:paraId="329DBFB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354BBB4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83" w:type="pct"/>
            <w:noWrap w:val="0"/>
            <w:vAlign w:val="center"/>
          </w:tcPr>
          <w:p w14:paraId="5AAC105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C50B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10E1D37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19</w:t>
            </w:r>
          </w:p>
        </w:tc>
        <w:tc>
          <w:tcPr>
            <w:tcW w:w="726" w:type="pct"/>
            <w:noWrap w:val="0"/>
            <w:vAlign w:val="center"/>
          </w:tcPr>
          <w:p w14:paraId="377ABBC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喷泉控制柜养护</w:t>
            </w:r>
          </w:p>
        </w:tc>
        <w:tc>
          <w:tcPr>
            <w:tcW w:w="2494" w:type="pct"/>
            <w:noWrap w:val="0"/>
            <w:vAlign w:val="center"/>
          </w:tcPr>
          <w:p w14:paraId="3BFBE17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喷泉控制柜养护包含：</w:t>
            </w:r>
          </w:p>
          <w:p w14:paraId="070334C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1.控制柜内电气元件检查及维护；</w:t>
            </w:r>
          </w:p>
          <w:p w14:paraId="4EF2256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2.制室柜内不得私自乱接用电器和乱拉电线；</w:t>
            </w:r>
          </w:p>
          <w:p w14:paraId="0A1556C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3.检查配电柜三相电源是否正常。</w:t>
            </w:r>
          </w:p>
          <w:p w14:paraId="3FB2D6A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4.检查控制柜状态是否正常，各分路空开是否已开启。</w:t>
            </w:r>
          </w:p>
          <w:p w14:paraId="59BF107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5.各仪表盘读数是否有过载、过流、过压欠压等不正常现象，保证设备处于正常状态；</w:t>
            </w:r>
          </w:p>
        </w:tc>
        <w:tc>
          <w:tcPr>
            <w:tcW w:w="418" w:type="pct"/>
            <w:noWrap w:val="0"/>
            <w:vAlign w:val="center"/>
          </w:tcPr>
          <w:p w14:paraId="646525D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C71B01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100</w:t>
            </w:r>
          </w:p>
        </w:tc>
        <w:tc>
          <w:tcPr>
            <w:tcW w:w="483" w:type="pct"/>
            <w:noWrap w:val="0"/>
            <w:vAlign w:val="center"/>
          </w:tcPr>
          <w:p w14:paraId="0144ECB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B70E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66655EA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20</w:t>
            </w:r>
          </w:p>
        </w:tc>
        <w:tc>
          <w:tcPr>
            <w:tcW w:w="726" w:type="pct"/>
            <w:noWrap w:val="0"/>
            <w:vAlign w:val="center"/>
          </w:tcPr>
          <w:p w14:paraId="712145F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w:t>
            </w:r>
          </w:p>
        </w:tc>
        <w:tc>
          <w:tcPr>
            <w:tcW w:w="2494" w:type="pct"/>
            <w:noWrap w:val="0"/>
            <w:vAlign w:val="center"/>
          </w:tcPr>
          <w:p w14:paraId="7645D07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变频器75KW养护包含：</w:t>
            </w:r>
          </w:p>
          <w:p w14:paraId="1CD198B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66F8945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6911C2A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59DB84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618ADC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83" w:type="pct"/>
            <w:noWrap w:val="0"/>
            <w:vAlign w:val="center"/>
          </w:tcPr>
          <w:p w14:paraId="3A45D39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1541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652FB1C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21</w:t>
            </w:r>
          </w:p>
        </w:tc>
        <w:tc>
          <w:tcPr>
            <w:tcW w:w="726" w:type="pct"/>
            <w:noWrap w:val="0"/>
            <w:vAlign w:val="center"/>
          </w:tcPr>
          <w:p w14:paraId="56BCF32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变频器45KW养护</w:t>
            </w:r>
          </w:p>
        </w:tc>
        <w:tc>
          <w:tcPr>
            <w:tcW w:w="2494" w:type="pct"/>
            <w:noWrap w:val="0"/>
            <w:vAlign w:val="center"/>
          </w:tcPr>
          <w:p w14:paraId="6ECEEB5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变频器45KW养护包含：</w:t>
            </w:r>
          </w:p>
          <w:p w14:paraId="312BDC2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4BD6AEE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682FEF6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28B1964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3DE156C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83" w:type="pct"/>
            <w:noWrap w:val="0"/>
            <w:vAlign w:val="center"/>
          </w:tcPr>
          <w:p w14:paraId="3C09D04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712D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5BCDF2F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22</w:t>
            </w:r>
          </w:p>
        </w:tc>
        <w:tc>
          <w:tcPr>
            <w:tcW w:w="726" w:type="pct"/>
            <w:noWrap w:val="0"/>
            <w:vAlign w:val="center"/>
          </w:tcPr>
          <w:p w14:paraId="5CB10A1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w:t>
            </w:r>
          </w:p>
        </w:tc>
        <w:tc>
          <w:tcPr>
            <w:tcW w:w="2494" w:type="pct"/>
            <w:noWrap w:val="0"/>
            <w:vAlign w:val="center"/>
          </w:tcPr>
          <w:p w14:paraId="7FFA5A2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变频器7.5KW养护包含：</w:t>
            </w:r>
          </w:p>
          <w:p w14:paraId="22A5237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28BF1C8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2786992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18A7276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56FA6E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346</w:t>
            </w:r>
          </w:p>
        </w:tc>
        <w:tc>
          <w:tcPr>
            <w:tcW w:w="483" w:type="pct"/>
            <w:noWrap w:val="0"/>
            <w:vAlign w:val="center"/>
          </w:tcPr>
          <w:p w14:paraId="56B1F62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F160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42AE318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w:t>
            </w:r>
          </w:p>
        </w:tc>
        <w:tc>
          <w:tcPr>
            <w:tcW w:w="726" w:type="pct"/>
            <w:noWrap w:val="0"/>
            <w:vAlign w:val="center"/>
          </w:tcPr>
          <w:p w14:paraId="12987FC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变频器4KW养护</w:t>
            </w:r>
          </w:p>
        </w:tc>
        <w:tc>
          <w:tcPr>
            <w:tcW w:w="2494" w:type="pct"/>
            <w:noWrap w:val="0"/>
            <w:vAlign w:val="center"/>
          </w:tcPr>
          <w:p w14:paraId="1E8CB42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变频器4KW养护包含：</w:t>
            </w:r>
          </w:p>
          <w:p w14:paraId="1CD346D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4C638C5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6FDE40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7169D59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7424A6A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48</w:t>
            </w:r>
          </w:p>
        </w:tc>
        <w:tc>
          <w:tcPr>
            <w:tcW w:w="483" w:type="pct"/>
            <w:noWrap w:val="0"/>
            <w:vAlign w:val="center"/>
          </w:tcPr>
          <w:p w14:paraId="6302A07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D9E7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7C5A570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w:t>
            </w:r>
          </w:p>
        </w:tc>
        <w:tc>
          <w:tcPr>
            <w:tcW w:w="726" w:type="pct"/>
            <w:noWrap w:val="0"/>
            <w:vAlign w:val="center"/>
          </w:tcPr>
          <w:p w14:paraId="60AB6BA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变频器3KW养护</w:t>
            </w:r>
          </w:p>
        </w:tc>
        <w:tc>
          <w:tcPr>
            <w:tcW w:w="2494" w:type="pct"/>
            <w:noWrap w:val="0"/>
            <w:vAlign w:val="center"/>
          </w:tcPr>
          <w:p w14:paraId="5325CB7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变频器3KW养护包含：</w:t>
            </w:r>
          </w:p>
          <w:p w14:paraId="057BC3D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483C250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3752A0E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39A4FF6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43570EC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83" w:type="pct"/>
            <w:noWrap w:val="0"/>
            <w:vAlign w:val="center"/>
          </w:tcPr>
          <w:p w14:paraId="343B096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EAA7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6178B1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w:t>
            </w:r>
          </w:p>
        </w:tc>
        <w:tc>
          <w:tcPr>
            <w:tcW w:w="726" w:type="pct"/>
            <w:noWrap w:val="0"/>
            <w:vAlign w:val="center"/>
          </w:tcPr>
          <w:p w14:paraId="449611A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高压软管DN40</w:t>
            </w:r>
          </w:p>
        </w:tc>
        <w:tc>
          <w:tcPr>
            <w:tcW w:w="2494" w:type="pct"/>
            <w:noWrap w:val="0"/>
            <w:vAlign w:val="center"/>
          </w:tcPr>
          <w:p w14:paraId="7D5898B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高压软管养护包含：</w:t>
            </w:r>
          </w:p>
          <w:p w14:paraId="2C45211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1.每天一次检查（包含是否有泄露、丝扣是否有异常等情况），是否达到工作压力；</w:t>
            </w:r>
          </w:p>
          <w:p w14:paraId="57A3DA2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w:t>
            </w:r>
          </w:p>
          <w:p w14:paraId="0014D4F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5939937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根</w:t>
            </w:r>
          </w:p>
        </w:tc>
        <w:tc>
          <w:tcPr>
            <w:tcW w:w="547" w:type="pct"/>
            <w:noWrap w:val="0"/>
            <w:vAlign w:val="center"/>
          </w:tcPr>
          <w:p w14:paraId="5D34E3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238</w:t>
            </w:r>
          </w:p>
        </w:tc>
        <w:tc>
          <w:tcPr>
            <w:tcW w:w="483" w:type="pct"/>
            <w:noWrap w:val="0"/>
            <w:vAlign w:val="center"/>
          </w:tcPr>
          <w:p w14:paraId="7B21C93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4E8B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32F067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26</w:t>
            </w:r>
          </w:p>
        </w:tc>
        <w:tc>
          <w:tcPr>
            <w:tcW w:w="726" w:type="pct"/>
            <w:noWrap w:val="0"/>
            <w:vAlign w:val="center"/>
          </w:tcPr>
          <w:p w14:paraId="2E73E92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投影机养护</w:t>
            </w:r>
          </w:p>
        </w:tc>
        <w:tc>
          <w:tcPr>
            <w:tcW w:w="2494" w:type="pct"/>
            <w:noWrap w:val="0"/>
            <w:vAlign w:val="center"/>
          </w:tcPr>
          <w:p w14:paraId="0DF5B4C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投影机养护包含：</w:t>
            </w:r>
          </w:p>
          <w:p w14:paraId="18443C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1.每天检查投影机启用是否正常，能否正常出光；</w:t>
            </w:r>
          </w:p>
          <w:p w14:paraId="261E256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2.出光口表面清理；</w:t>
            </w:r>
          </w:p>
          <w:p w14:paraId="22EA17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149DE5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4.画面与声音基本同步；</w:t>
            </w:r>
          </w:p>
          <w:p w14:paraId="052F3C3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5.防水机箱是否密封，排风口是否正常。</w:t>
            </w:r>
          </w:p>
        </w:tc>
        <w:tc>
          <w:tcPr>
            <w:tcW w:w="418" w:type="pct"/>
            <w:noWrap w:val="0"/>
            <w:vAlign w:val="center"/>
          </w:tcPr>
          <w:p w14:paraId="04212DD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7926846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483" w:type="pct"/>
            <w:noWrap w:val="0"/>
            <w:vAlign w:val="center"/>
          </w:tcPr>
          <w:p w14:paraId="5ED4510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B351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28" w:type="pct"/>
            <w:noWrap w:val="0"/>
            <w:vAlign w:val="center"/>
          </w:tcPr>
          <w:p w14:paraId="46341F0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w:t>
            </w:r>
          </w:p>
        </w:tc>
        <w:tc>
          <w:tcPr>
            <w:tcW w:w="726" w:type="pct"/>
            <w:noWrap w:val="0"/>
            <w:vAlign w:val="center"/>
          </w:tcPr>
          <w:p w14:paraId="613D8F6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光束灯养护</w:t>
            </w:r>
          </w:p>
        </w:tc>
        <w:tc>
          <w:tcPr>
            <w:tcW w:w="2494" w:type="pct"/>
            <w:noWrap w:val="0"/>
            <w:vAlign w:val="center"/>
          </w:tcPr>
          <w:p w14:paraId="2BAE9C3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光束灯养护包含：</w:t>
            </w:r>
          </w:p>
          <w:p w14:paraId="5995D24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1.每天检查光束灯灯光亮度及颜色是否正常，光束灯是否有不转、不亮等状态；</w:t>
            </w:r>
          </w:p>
          <w:p w14:paraId="506FB14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2.灯具表面清理；</w:t>
            </w:r>
          </w:p>
          <w:p w14:paraId="0FA37AF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31AE454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tc>
        <w:tc>
          <w:tcPr>
            <w:tcW w:w="418" w:type="pct"/>
            <w:noWrap w:val="0"/>
            <w:vAlign w:val="center"/>
          </w:tcPr>
          <w:p w14:paraId="760980D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c>
          <w:tcPr>
            <w:tcW w:w="547" w:type="pct"/>
            <w:noWrap w:val="0"/>
            <w:vAlign w:val="center"/>
          </w:tcPr>
          <w:p w14:paraId="51B1276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483" w:type="pct"/>
            <w:noWrap w:val="0"/>
            <w:vAlign w:val="center"/>
          </w:tcPr>
          <w:p w14:paraId="501869C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A9F5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2D7915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28</w:t>
            </w:r>
          </w:p>
        </w:tc>
        <w:tc>
          <w:tcPr>
            <w:tcW w:w="726" w:type="pct"/>
            <w:noWrap w:val="0"/>
            <w:vAlign w:val="center"/>
          </w:tcPr>
          <w:p w14:paraId="4067264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激光灯养护</w:t>
            </w:r>
          </w:p>
        </w:tc>
        <w:tc>
          <w:tcPr>
            <w:tcW w:w="2494" w:type="pct"/>
            <w:noWrap w:val="0"/>
            <w:vAlign w:val="center"/>
          </w:tcPr>
          <w:p w14:paraId="460BCCE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激光灯养护包含：</w:t>
            </w:r>
          </w:p>
          <w:p w14:paraId="7CE6FEF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每天检查光束灯灯光亮度及颜色是否正常，激光灯是否有不受控、不出光等状态；</w:t>
            </w:r>
          </w:p>
          <w:p w14:paraId="46F3970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2.出光口表面清理；</w:t>
            </w:r>
          </w:p>
          <w:p w14:paraId="05C8515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5CE43FD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tc>
        <w:tc>
          <w:tcPr>
            <w:tcW w:w="418" w:type="pct"/>
            <w:noWrap w:val="0"/>
            <w:vAlign w:val="center"/>
          </w:tcPr>
          <w:p w14:paraId="0DBE758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tcBorders>
              <w:right w:val="single" w:color="auto" w:sz="4" w:space="0"/>
            </w:tcBorders>
            <w:noWrap w:val="0"/>
            <w:vAlign w:val="center"/>
          </w:tcPr>
          <w:p w14:paraId="4BCEECF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83" w:type="pct"/>
            <w:tcBorders>
              <w:left w:val="single" w:color="auto" w:sz="4" w:space="0"/>
            </w:tcBorders>
            <w:noWrap w:val="0"/>
            <w:vAlign w:val="center"/>
          </w:tcPr>
          <w:p w14:paraId="125D8EA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bl>
    <w:p w14:paraId="48031D42">
      <w:pPr>
        <w:shd w:val="clear"/>
        <w:spacing w:after="0" w:line="360" w:lineRule="auto"/>
        <w:ind w:right="-2" w:firstLine="480" w:firstLineChars="200"/>
        <w:rPr>
          <w:rFonts w:hint="eastAsia" w:ascii="宋体" w:hAnsi="宋体" w:cs="宋体"/>
          <w:color w:val="auto"/>
          <w:sz w:val="24"/>
          <w:szCs w:val="24"/>
          <w:highlight w:val="none"/>
          <w:lang w:val="en-US" w:eastAsia="zh-CN"/>
        </w:rPr>
      </w:pPr>
    </w:p>
    <w:tbl>
      <w:tblPr>
        <w:tblStyle w:val="17"/>
        <w:tblW w:w="457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0"/>
        <w:gridCol w:w="1308"/>
        <w:gridCol w:w="3502"/>
        <w:gridCol w:w="645"/>
        <w:gridCol w:w="743"/>
        <w:gridCol w:w="955"/>
        <w:gridCol w:w="578"/>
      </w:tblGrid>
      <w:tr w14:paraId="38D0D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7"/>
            <w:noWrap w:val="0"/>
            <w:vAlign w:val="center"/>
          </w:tcPr>
          <w:p w14:paraId="71B3DF2C">
            <w:pPr>
              <w:shd w:val="clear"/>
              <w:spacing w:after="0" w:line="0" w:lineRule="atLeast"/>
              <w:ind w:right="-2" w:firstLine="0" w:firstLineChars="0"/>
              <w:jc w:val="both"/>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二、设备维修</w:t>
            </w:r>
          </w:p>
        </w:tc>
      </w:tr>
      <w:tr w14:paraId="4852F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25B5D885">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cs="宋体"/>
                <w:color w:val="auto"/>
                <w:sz w:val="24"/>
                <w:szCs w:val="24"/>
                <w:highlight w:val="none"/>
                <w:lang w:val="en-US" w:eastAsia="zh-CN"/>
              </w:rPr>
            </w:pPr>
            <w:r>
              <w:rPr>
                <w:rFonts w:hint="eastAsia" w:ascii="宋体" w:hAnsi="宋体" w:eastAsia="宋体" w:cs="宋体"/>
                <w:color w:val="auto"/>
                <w:sz w:val="22"/>
                <w:szCs w:val="22"/>
                <w:highlight w:val="none"/>
              </w:rPr>
              <w:t>序号</w:t>
            </w:r>
          </w:p>
        </w:tc>
        <w:tc>
          <w:tcPr>
            <w:tcW w:w="803" w:type="pct"/>
            <w:noWrap w:val="0"/>
            <w:vAlign w:val="center"/>
          </w:tcPr>
          <w:p w14:paraId="0DECE90B">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cs="宋体"/>
                <w:color w:val="auto"/>
                <w:sz w:val="24"/>
                <w:szCs w:val="24"/>
                <w:highlight w:val="none"/>
                <w:lang w:val="en-US" w:eastAsia="zh-CN"/>
              </w:rPr>
            </w:pPr>
            <w:r>
              <w:rPr>
                <w:rFonts w:hint="eastAsia" w:ascii="宋体" w:hAnsi="宋体" w:eastAsia="宋体" w:cs="宋体"/>
                <w:color w:val="auto"/>
                <w:sz w:val="22"/>
                <w:szCs w:val="22"/>
                <w:highlight w:val="none"/>
              </w:rPr>
              <w:t>项目名称</w:t>
            </w:r>
          </w:p>
        </w:tc>
        <w:tc>
          <w:tcPr>
            <w:tcW w:w="2150" w:type="pct"/>
            <w:noWrap w:val="0"/>
            <w:vAlign w:val="center"/>
          </w:tcPr>
          <w:p w14:paraId="1BE1322C">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cs="宋体"/>
                <w:color w:val="auto"/>
                <w:sz w:val="24"/>
                <w:szCs w:val="24"/>
                <w:highlight w:val="none"/>
                <w:lang w:val="en-US" w:eastAsia="zh-CN"/>
              </w:rPr>
            </w:pPr>
            <w:r>
              <w:rPr>
                <w:rFonts w:hint="eastAsia" w:ascii="宋体" w:hAnsi="宋体" w:eastAsia="宋体" w:cs="宋体"/>
                <w:color w:val="auto"/>
                <w:sz w:val="22"/>
                <w:szCs w:val="22"/>
                <w:highlight w:val="none"/>
              </w:rPr>
              <w:t>项目特征描述</w:t>
            </w:r>
          </w:p>
        </w:tc>
        <w:tc>
          <w:tcPr>
            <w:tcW w:w="396" w:type="pct"/>
            <w:noWrap w:val="0"/>
            <w:vAlign w:val="center"/>
          </w:tcPr>
          <w:p w14:paraId="0DD32144">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cs="宋体"/>
                <w:color w:val="auto"/>
                <w:sz w:val="24"/>
                <w:szCs w:val="24"/>
                <w:highlight w:val="none"/>
                <w:lang w:val="en-US" w:eastAsia="zh-CN"/>
              </w:rPr>
            </w:pPr>
            <w:r>
              <w:rPr>
                <w:rFonts w:hint="eastAsia" w:ascii="宋体" w:hAnsi="宋体" w:eastAsia="宋体" w:cs="宋体"/>
                <w:color w:val="auto"/>
                <w:sz w:val="22"/>
                <w:szCs w:val="22"/>
                <w:highlight w:val="none"/>
              </w:rPr>
              <w:t>单位</w:t>
            </w:r>
          </w:p>
        </w:tc>
        <w:tc>
          <w:tcPr>
            <w:tcW w:w="456" w:type="pct"/>
            <w:tcBorders>
              <w:right w:val="single" w:color="auto" w:sz="4" w:space="0"/>
            </w:tcBorders>
            <w:noWrap w:val="0"/>
            <w:vAlign w:val="center"/>
          </w:tcPr>
          <w:p w14:paraId="37B26C52">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cs="宋体"/>
                <w:color w:val="auto"/>
                <w:sz w:val="24"/>
                <w:szCs w:val="24"/>
                <w:highlight w:val="none"/>
                <w:lang w:val="en-US" w:eastAsia="zh-CN"/>
              </w:rPr>
            </w:pPr>
            <w:r>
              <w:rPr>
                <w:rFonts w:hint="eastAsia" w:ascii="宋体" w:hAnsi="宋体" w:eastAsia="宋体" w:cs="宋体"/>
                <w:color w:val="auto"/>
                <w:sz w:val="22"/>
                <w:szCs w:val="22"/>
                <w:highlight w:val="none"/>
              </w:rPr>
              <w:t>工程量</w:t>
            </w:r>
          </w:p>
        </w:tc>
        <w:tc>
          <w:tcPr>
            <w:tcW w:w="586" w:type="pct"/>
            <w:tcBorders>
              <w:left w:val="single" w:color="auto" w:sz="4" w:space="0"/>
              <w:right w:val="single" w:color="auto" w:sz="4" w:space="0"/>
            </w:tcBorders>
            <w:noWrap w:val="0"/>
            <w:vAlign w:val="center"/>
          </w:tcPr>
          <w:p w14:paraId="33CA9835">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default" w:ascii="宋体" w:hAnsi="宋体" w:cs="宋体"/>
                <w:color w:val="auto"/>
                <w:sz w:val="24"/>
                <w:szCs w:val="24"/>
                <w:highlight w:val="none"/>
                <w:lang w:val="en-US" w:eastAsia="zh-CN"/>
              </w:rPr>
            </w:pPr>
            <w:r>
              <w:rPr>
                <w:rFonts w:hint="eastAsia" w:ascii="宋体" w:hAnsi="宋体" w:cs="宋体"/>
                <w:color w:val="auto"/>
                <w:sz w:val="22"/>
                <w:szCs w:val="22"/>
                <w:highlight w:val="none"/>
                <w:lang w:val="en-US" w:eastAsia="zh-CN"/>
              </w:rPr>
              <w:t>单项最高限价(元)</w:t>
            </w:r>
          </w:p>
        </w:tc>
        <w:tc>
          <w:tcPr>
            <w:tcW w:w="354" w:type="pct"/>
            <w:tcBorders>
              <w:left w:val="single" w:color="auto" w:sz="4" w:space="0"/>
            </w:tcBorders>
            <w:noWrap w:val="0"/>
            <w:vAlign w:val="center"/>
          </w:tcPr>
          <w:p w14:paraId="17C4F7E9">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tc>
      </w:tr>
      <w:tr w14:paraId="02688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18A8C34D">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803" w:type="pct"/>
            <w:noWrap w:val="0"/>
            <w:vAlign w:val="center"/>
          </w:tcPr>
          <w:p w14:paraId="385776A4">
            <w:pPr>
              <w:shd w:val="clear"/>
              <w:spacing w:after="0" w:line="0" w:lineRule="atLeast"/>
              <w:ind w:right="-2" w:rightChars="0" w:firstLine="0" w:firstLineChars="0"/>
              <w:jc w:val="center"/>
              <w:rPr>
                <w:rFonts w:hint="eastAsia" w:ascii="宋体" w:hAnsi="宋体" w:eastAsia="宋体" w:cs="宋体"/>
                <w:color w:val="auto"/>
                <w:sz w:val="22"/>
                <w:szCs w:val="22"/>
                <w:highlight w:val="none"/>
              </w:rPr>
            </w:pPr>
            <w:r>
              <w:rPr>
                <w:rFonts w:hint="eastAsia" w:ascii="宋体" w:hAnsi="宋体" w:cs="宋体"/>
                <w:color w:val="auto"/>
                <w:sz w:val="24"/>
                <w:szCs w:val="24"/>
                <w:highlight w:val="none"/>
                <w:lang w:val="en-US" w:eastAsia="zh-CN"/>
              </w:rPr>
              <w:t>喷泉水泵维修</w:t>
            </w:r>
          </w:p>
        </w:tc>
        <w:tc>
          <w:tcPr>
            <w:tcW w:w="2150" w:type="pct"/>
            <w:noWrap w:val="0"/>
            <w:vAlign w:val="center"/>
          </w:tcPr>
          <w:p w14:paraId="2DA51AA2">
            <w:pPr>
              <w:shd w:val="clear"/>
              <w:spacing w:after="0" w:line="0" w:lineRule="atLeast"/>
              <w:ind w:right="-2" w:firstLine="0" w:firstLineChars="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1、QS40-28-5.5水泵拆卸、人工费以及水泵不换件维修</w:t>
            </w:r>
          </w:p>
          <w:p w14:paraId="79F59075">
            <w:pPr>
              <w:shd w:val="clear"/>
              <w:spacing w:after="0" w:line="0" w:lineRule="atLeast"/>
              <w:ind w:right="-2" w:firstLine="0" w:firstLineChars="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2、QS40-28-5.5水泵维修（含技工人工费以及水泵维修）</w:t>
            </w:r>
          </w:p>
          <w:p w14:paraId="21EC7DC0">
            <w:pPr>
              <w:shd w:val="clear"/>
              <w:spacing w:after="0" w:line="0" w:lineRule="atLeast"/>
              <w:ind w:right="-2" w:rightChars="0" w:firstLine="0" w:firstLineChars="0"/>
              <w:jc w:val="left"/>
              <w:rPr>
                <w:rFonts w:hint="eastAsia" w:ascii="宋体" w:hAnsi="宋体" w:eastAsia="宋体" w:cs="宋体"/>
                <w:color w:val="auto"/>
                <w:sz w:val="22"/>
                <w:szCs w:val="22"/>
                <w:highlight w:val="none"/>
              </w:rPr>
            </w:pPr>
            <w:r>
              <w:rPr>
                <w:rFonts w:hint="eastAsia" w:ascii="宋体" w:hAnsi="宋体" w:cs="宋体"/>
                <w:color w:val="auto"/>
                <w:sz w:val="24"/>
                <w:szCs w:val="24"/>
                <w:highlight w:val="none"/>
                <w:lang w:val="en-US" w:eastAsia="zh-CN"/>
              </w:rPr>
              <w:t>3、安装、调试（含单体调试）</w:t>
            </w:r>
          </w:p>
        </w:tc>
        <w:tc>
          <w:tcPr>
            <w:tcW w:w="396" w:type="pct"/>
            <w:noWrap w:val="0"/>
            <w:vAlign w:val="center"/>
          </w:tcPr>
          <w:p w14:paraId="503EDD01">
            <w:pPr>
              <w:shd w:val="clear"/>
              <w:spacing w:after="0" w:line="0" w:lineRule="atLeast"/>
              <w:ind w:right="-2" w:rightChars="0" w:firstLine="0" w:firstLineChars="0"/>
              <w:jc w:val="center"/>
              <w:rPr>
                <w:rFonts w:hint="eastAsia" w:ascii="宋体" w:hAnsi="宋体" w:eastAsia="宋体" w:cs="宋体"/>
                <w:color w:val="auto"/>
                <w:sz w:val="22"/>
                <w:szCs w:val="22"/>
                <w:highlight w:val="none"/>
              </w:rPr>
            </w:pPr>
            <w:r>
              <w:rPr>
                <w:rFonts w:hint="eastAsia" w:ascii="宋体" w:hAnsi="宋体" w:cs="宋体"/>
                <w:color w:val="auto"/>
                <w:sz w:val="24"/>
                <w:szCs w:val="24"/>
                <w:highlight w:val="none"/>
                <w:lang w:val="en-US" w:eastAsia="zh-CN"/>
              </w:rPr>
              <w:t>台</w:t>
            </w:r>
          </w:p>
        </w:tc>
        <w:tc>
          <w:tcPr>
            <w:tcW w:w="456" w:type="pct"/>
            <w:tcBorders>
              <w:right w:val="single" w:color="auto" w:sz="4" w:space="0"/>
            </w:tcBorders>
            <w:noWrap w:val="0"/>
            <w:vAlign w:val="center"/>
          </w:tcPr>
          <w:p w14:paraId="20F13828">
            <w:pPr>
              <w:shd w:val="clear"/>
              <w:spacing w:after="0" w:line="0" w:lineRule="atLeast"/>
              <w:ind w:right="-2" w:rightChars="0" w:firstLine="0" w:firstLineChars="0"/>
              <w:jc w:val="center"/>
              <w:rPr>
                <w:rFonts w:hint="eastAsia" w:ascii="宋体" w:hAnsi="宋体" w:eastAsia="宋体" w:cs="宋体"/>
                <w:color w:val="auto"/>
                <w:sz w:val="22"/>
                <w:szCs w:val="22"/>
                <w:highlight w:val="none"/>
              </w:rPr>
            </w:pPr>
            <w:r>
              <w:rPr>
                <w:rFonts w:hint="eastAsia" w:ascii="宋体" w:hAnsi="宋体" w:cs="宋体"/>
                <w:color w:val="auto"/>
                <w:sz w:val="24"/>
                <w:szCs w:val="24"/>
                <w:highlight w:val="none"/>
                <w:lang w:val="en-US" w:eastAsia="zh-CN"/>
              </w:rPr>
              <w:t>25</w:t>
            </w:r>
          </w:p>
        </w:tc>
        <w:tc>
          <w:tcPr>
            <w:tcW w:w="586" w:type="pct"/>
            <w:tcBorders>
              <w:left w:val="single" w:color="auto" w:sz="4" w:space="0"/>
              <w:right w:val="single" w:color="auto" w:sz="4" w:space="0"/>
            </w:tcBorders>
            <w:noWrap w:val="0"/>
            <w:vAlign w:val="center"/>
          </w:tcPr>
          <w:p w14:paraId="3CA6BC1A">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eastAsia="宋体" w:cs="宋体"/>
                <w:color w:val="auto"/>
                <w:sz w:val="22"/>
                <w:szCs w:val="22"/>
                <w:highlight w:val="none"/>
              </w:rPr>
            </w:pPr>
          </w:p>
        </w:tc>
        <w:tc>
          <w:tcPr>
            <w:tcW w:w="354" w:type="pct"/>
            <w:tcBorders>
              <w:left w:val="single" w:color="auto" w:sz="4" w:space="0"/>
            </w:tcBorders>
            <w:noWrap w:val="0"/>
            <w:vAlign w:val="center"/>
          </w:tcPr>
          <w:p w14:paraId="255294D3">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eastAsia="宋体" w:cs="宋体"/>
                <w:color w:val="auto"/>
                <w:sz w:val="22"/>
                <w:szCs w:val="22"/>
                <w:highlight w:val="none"/>
              </w:rPr>
            </w:pPr>
          </w:p>
        </w:tc>
      </w:tr>
      <w:tr w14:paraId="46A7E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33B5D03A">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803" w:type="pct"/>
            <w:noWrap w:val="0"/>
            <w:vAlign w:val="center"/>
          </w:tcPr>
          <w:p w14:paraId="585D7D6C">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喷泉水泵维修</w:t>
            </w:r>
          </w:p>
        </w:tc>
        <w:tc>
          <w:tcPr>
            <w:tcW w:w="2150" w:type="pct"/>
            <w:noWrap w:val="0"/>
            <w:vAlign w:val="center"/>
          </w:tcPr>
          <w:p w14:paraId="3DE9C1E8">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1、QS25-25-3水泵拆卸、人工费以及水泵不换件维修</w:t>
            </w:r>
          </w:p>
          <w:p w14:paraId="6CF43306">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2、QS25-25-3水泵维修（含技工人工费以及水泵维修）</w:t>
            </w:r>
          </w:p>
          <w:p w14:paraId="6453C8DC">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3、安装、调试（含单体调试）</w:t>
            </w:r>
          </w:p>
        </w:tc>
        <w:tc>
          <w:tcPr>
            <w:tcW w:w="396" w:type="pct"/>
            <w:noWrap w:val="0"/>
            <w:vAlign w:val="center"/>
          </w:tcPr>
          <w:p w14:paraId="65AE98D8">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56" w:type="pct"/>
            <w:noWrap w:val="0"/>
            <w:vAlign w:val="center"/>
          </w:tcPr>
          <w:p w14:paraId="38631FF0">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586" w:type="pct"/>
            <w:tcBorders>
              <w:right w:val="single" w:color="auto" w:sz="4" w:space="0"/>
            </w:tcBorders>
            <w:noWrap w:val="0"/>
            <w:vAlign w:val="center"/>
          </w:tcPr>
          <w:p w14:paraId="4FC8676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6898BD46">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264AF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1D7070FC">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803" w:type="pct"/>
            <w:noWrap w:val="0"/>
            <w:vAlign w:val="center"/>
          </w:tcPr>
          <w:p w14:paraId="2C107DA9">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气爆装置维修</w:t>
            </w:r>
          </w:p>
        </w:tc>
        <w:tc>
          <w:tcPr>
            <w:tcW w:w="2150" w:type="pct"/>
            <w:noWrap w:val="0"/>
            <w:vAlign w:val="center"/>
          </w:tcPr>
          <w:p w14:paraId="3B16080E">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气爆装置维修</w:t>
            </w:r>
          </w:p>
          <w:p w14:paraId="6EE527A9">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1、气爆装置拆卸人工费、设备更换气爆阀板、弹簧、支撑件等配件，不含主体</w:t>
            </w:r>
          </w:p>
          <w:p w14:paraId="695BA246">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2、安装、调试（含单体调试）</w:t>
            </w:r>
          </w:p>
        </w:tc>
        <w:tc>
          <w:tcPr>
            <w:tcW w:w="396" w:type="pct"/>
            <w:noWrap w:val="0"/>
            <w:vAlign w:val="center"/>
          </w:tcPr>
          <w:p w14:paraId="094E56EA">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p w14:paraId="7D9E5CEF">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p w14:paraId="1E8CE777">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56" w:type="pct"/>
            <w:noWrap w:val="0"/>
            <w:vAlign w:val="center"/>
          </w:tcPr>
          <w:p w14:paraId="5F008003">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p w14:paraId="3FF50FA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p w14:paraId="603640C5">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18</w:t>
            </w:r>
          </w:p>
        </w:tc>
        <w:tc>
          <w:tcPr>
            <w:tcW w:w="586" w:type="pct"/>
            <w:tcBorders>
              <w:right w:val="single" w:color="auto" w:sz="4" w:space="0"/>
            </w:tcBorders>
            <w:noWrap w:val="0"/>
            <w:vAlign w:val="center"/>
          </w:tcPr>
          <w:p w14:paraId="6AB6D9A3">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4F0DA329">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4545A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07D2763B">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803" w:type="pct"/>
            <w:noWrap w:val="0"/>
            <w:vAlign w:val="center"/>
          </w:tcPr>
          <w:p w14:paraId="6AB8794B">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电磁阀维修</w:t>
            </w:r>
          </w:p>
        </w:tc>
        <w:tc>
          <w:tcPr>
            <w:tcW w:w="2150" w:type="pct"/>
            <w:noWrap w:val="0"/>
            <w:vAlign w:val="center"/>
          </w:tcPr>
          <w:p w14:paraId="72744A01">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DN40电磁阀维修</w:t>
            </w:r>
          </w:p>
          <w:p w14:paraId="728AFD9C">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1、电磁阀拆卸人工费</w:t>
            </w:r>
          </w:p>
          <w:p w14:paraId="00DCDACF">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2、电磁阀阀体、线路维修及满足使用前提下不换件维修</w:t>
            </w:r>
          </w:p>
          <w:p w14:paraId="72D3B888">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3、安装、调试（含单体调试）</w:t>
            </w:r>
          </w:p>
        </w:tc>
        <w:tc>
          <w:tcPr>
            <w:tcW w:w="396" w:type="pct"/>
            <w:noWrap w:val="0"/>
            <w:vAlign w:val="center"/>
          </w:tcPr>
          <w:p w14:paraId="0EEF3CF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56" w:type="pct"/>
            <w:noWrap w:val="0"/>
            <w:vAlign w:val="center"/>
          </w:tcPr>
          <w:p w14:paraId="0CB04E44">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22</w:t>
            </w:r>
          </w:p>
        </w:tc>
        <w:tc>
          <w:tcPr>
            <w:tcW w:w="586" w:type="pct"/>
            <w:tcBorders>
              <w:right w:val="single" w:color="auto" w:sz="4" w:space="0"/>
            </w:tcBorders>
            <w:noWrap w:val="0"/>
            <w:vAlign w:val="center"/>
          </w:tcPr>
          <w:p w14:paraId="6F6C3DB8">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616B39E8">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26969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1ABD69E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803" w:type="pct"/>
            <w:noWrap w:val="0"/>
            <w:vAlign w:val="center"/>
          </w:tcPr>
          <w:p w14:paraId="224BEEF9">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排污泵维修</w:t>
            </w:r>
          </w:p>
          <w:p w14:paraId="7FEAFAE1">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150WQ150-8-5.5</w:t>
            </w:r>
          </w:p>
        </w:tc>
        <w:tc>
          <w:tcPr>
            <w:tcW w:w="2150" w:type="pct"/>
            <w:noWrap w:val="0"/>
            <w:vAlign w:val="center"/>
          </w:tcPr>
          <w:p w14:paraId="44831074">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1、排污泵150-8-5.5水泵拆卸、人工费以及水泵不换件维修</w:t>
            </w:r>
          </w:p>
          <w:p w14:paraId="504745AF">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2、排污泵150-8-5.5水泵维修（含技工人工费以及水泵维修）</w:t>
            </w:r>
          </w:p>
          <w:p w14:paraId="5E8B5D8A">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3、安装、调试（含单体调试）</w:t>
            </w:r>
          </w:p>
        </w:tc>
        <w:tc>
          <w:tcPr>
            <w:tcW w:w="396" w:type="pct"/>
            <w:noWrap w:val="0"/>
            <w:vAlign w:val="center"/>
          </w:tcPr>
          <w:p w14:paraId="375AA531">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56" w:type="pct"/>
            <w:noWrap w:val="0"/>
            <w:vAlign w:val="center"/>
          </w:tcPr>
          <w:p w14:paraId="6B6CE05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586" w:type="pct"/>
            <w:tcBorders>
              <w:right w:val="single" w:color="auto" w:sz="4" w:space="0"/>
            </w:tcBorders>
            <w:noWrap w:val="0"/>
            <w:vAlign w:val="center"/>
          </w:tcPr>
          <w:p w14:paraId="5E06CC83">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4B2D7D29">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2D69E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5C333F3A">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803" w:type="pct"/>
            <w:noWrap w:val="0"/>
            <w:vAlign w:val="center"/>
          </w:tcPr>
          <w:p w14:paraId="3DEAAD4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导水泵维修</w:t>
            </w:r>
          </w:p>
          <w:p w14:paraId="34050746">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150WQ150-8-5.5</w:t>
            </w:r>
          </w:p>
        </w:tc>
        <w:tc>
          <w:tcPr>
            <w:tcW w:w="2150" w:type="pct"/>
            <w:noWrap w:val="0"/>
            <w:vAlign w:val="center"/>
          </w:tcPr>
          <w:p w14:paraId="2165ECD9">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1、导水泵150-8-5.5水泵拆卸、人工费以及水泵不换件维修</w:t>
            </w:r>
          </w:p>
          <w:p w14:paraId="6DEA5378">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2、导水泵150-8-5.5水泵维修（含技工人工费以及水泵维修）</w:t>
            </w:r>
          </w:p>
          <w:p w14:paraId="25A3B242">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3、安装、调试（含单体调试）</w:t>
            </w:r>
          </w:p>
        </w:tc>
        <w:tc>
          <w:tcPr>
            <w:tcW w:w="396" w:type="pct"/>
            <w:noWrap w:val="0"/>
            <w:vAlign w:val="center"/>
          </w:tcPr>
          <w:p w14:paraId="1D31FF1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56" w:type="pct"/>
            <w:noWrap w:val="0"/>
            <w:vAlign w:val="center"/>
          </w:tcPr>
          <w:p w14:paraId="2DBF7B95">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586" w:type="pct"/>
            <w:tcBorders>
              <w:right w:val="single" w:color="auto" w:sz="4" w:space="0"/>
            </w:tcBorders>
            <w:noWrap w:val="0"/>
            <w:vAlign w:val="center"/>
          </w:tcPr>
          <w:p w14:paraId="3B207316">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503CECEE">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3AB7E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1C6F1E67">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803" w:type="pct"/>
            <w:noWrap w:val="0"/>
            <w:vAlign w:val="center"/>
          </w:tcPr>
          <w:p w14:paraId="4727D8A6">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变频器7.5KW维修</w:t>
            </w:r>
          </w:p>
        </w:tc>
        <w:tc>
          <w:tcPr>
            <w:tcW w:w="2150" w:type="pct"/>
            <w:noWrap w:val="0"/>
            <w:vAlign w:val="center"/>
          </w:tcPr>
          <w:p w14:paraId="3B1508CD">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变频器维修</w:t>
            </w:r>
          </w:p>
          <w:p w14:paraId="4B4B105B">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1、变频器拆卸人工费（含技工人工费以及变频器维修）</w:t>
            </w:r>
          </w:p>
        </w:tc>
        <w:tc>
          <w:tcPr>
            <w:tcW w:w="396" w:type="pct"/>
            <w:noWrap w:val="0"/>
            <w:vAlign w:val="center"/>
          </w:tcPr>
          <w:p w14:paraId="30A11EC4">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56" w:type="pct"/>
            <w:tcBorders>
              <w:right w:val="single" w:color="auto" w:sz="4" w:space="0"/>
            </w:tcBorders>
            <w:noWrap w:val="0"/>
            <w:vAlign w:val="center"/>
          </w:tcPr>
          <w:p w14:paraId="13C85C7C">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586" w:type="pct"/>
            <w:tcBorders>
              <w:left w:val="single" w:color="auto" w:sz="4" w:space="0"/>
              <w:right w:val="single" w:color="auto" w:sz="4" w:space="0"/>
            </w:tcBorders>
            <w:noWrap w:val="0"/>
            <w:vAlign w:val="center"/>
          </w:tcPr>
          <w:p w14:paraId="5F634B99">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0B2F98BC">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5645E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58" w:type="pct"/>
            <w:gridSpan w:val="5"/>
            <w:tcBorders>
              <w:right w:val="single" w:color="auto" w:sz="4" w:space="0"/>
            </w:tcBorders>
            <w:noWrap w:val="0"/>
            <w:vAlign w:val="center"/>
          </w:tcPr>
          <w:p w14:paraId="5D1ABFB9">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三、设备换新</w:t>
            </w:r>
          </w:p>
        </w:tc>
        <w:tc>
          <w:tcPr>
            <w:tcW w:w="586" w:type="pct"/>
            <w:tcBorders>
              <w:left w:val="single" w:color="auto" w:sz="4" w:space="0"/>
              <w:right w:val="single" w:color="auto" w:sz="4" w:space="0"/>
            </w:tcBorders>
            <w:noWrap w:val="0"/>
            <w:vAlign w:val="center"/>
          </w:tcPr>
          <w:p w14:paraId="29EF4DD8">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2D0FA207">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063DC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1" w:hRule="atLeast"/>
        </w:trPr>
        <w:tc>
          <w:tcPr>
            <w:tcW w:w="251" w:type="pct"/>
            <w:noWrap w:val="0"/>
            <w:vAlign w:val="center"/>
          </w:tcPr>
          <w:p w14:paraId="357F0B4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803" w:type="pct"/>
            <w:noWrap w:val="0"/>
            <w:vAlign w:val="center"/>
          </w:tcPr>
          <w:p w14:paraId="4CF6B5B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喷泉水泵3KW</w:t>
            </w:r>
          </w:p>
        </w:tc>
        <w:tc>
          <w:tcPr>
            <w:tcW w:w="2150" w:type="pct"/>
            <w:noWrap w:val="0"/>
            <w:vAlign w:val="center"/>
          </w:tcPr>
          <w:p w14:paraId="7E749B4B">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喷泉水泵3KW换新安装</w:t>
            </w:r>
          </w:p>
          <w:p w14:paraId="59715FAC">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1、QS25-24-3</w:t>
            </w:r>
          </w:p>
          <w:p w14:paraId="18B4784E">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2、安装、调试（含单体及各系统整体、联合调试）</w:t>
            </w:r>
          </w:p>
        </w:tc>
        <w:tc>
          <w:tcPr>
            <w:tcW w:w="396" w:type="pct"/>
            <w:noWrap w:val="0"/>
            <w:vAlign w:val="center"/>
          </w:tcPr>
          <w:p w14:paraId="009CF557">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56" w:type="pct"/>
            <w:tcBorders>
              <w:right w:val="single" w:color="auto" w:sz="4" w:space="0"/>
            </w:tcBorders>
            <w:noWrap w:val="0"/>
            <w:vAlign w:val="center"/>
          </w:tcPr>
          <w:p w14:paraId="52F276E9">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586" w:type="pct"/>
            <w:tcBorders>
              <w:left w:val="single" w:color="auto" w:sz="4" w:space="0"/>
              <w:right w:val="single" w:color="auto" w:sz="4" w:space="0"/>
            </w:tcBorders>
            <w:noWrap w:val="0"/>
            <w:vAlign w:val="center"/>
          </w:tcPr>
          <w:p w14:paraId="75E831DC">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71DE0A46">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6A4E4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17D74CD5">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803" w:type="pct"/>
            <w:noWrap w:val="0"/>
            <w:vAlign w:val="center"/>
          </w:tcPr>
          <w:p w14:paraId="6BB9397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电磁阀更新</w:t>
            </w:r>
          </w:p>
        </w:tc>
        <w:tc>
          <w:tcPr>
            <w:tcW w:w="2150" w:type="pct"/>
            <w:noWrap w:val="0"/>
            <w:vAlign w:val="center"/>
          </w:tcPr>
          <w:p w14:paraId="19BCD6C2">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电磁阀换新安装</w:t>
            </w:r>
          </w:p>
          <w:p w14:paraId="1545D0E8">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1、DN40</w:t>
            </w:r>
          </w:p>
          <w:p w14:paraId="5953C07D">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2、304不锈钢材质</w:t>
            </w:r>
          </w:p>
          <w:p w14:paraId="7BE1350A">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3、压力2.5MPa</w:t>
            </w:r>
          </w:p>
          <w:p w14:paraId="36C537F7">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4、连接方式：螺纹</w:t>
            </w:r>
          </w:p>
          <w:p w14:paraId="6281BCF0">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5、应用介质：气</w:t>
            </w:r>
          </w:p>
          <w:p w14:paraId="42E573DD">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6、安装、调试（含单体及各系统整体、联合调试）</w:t>
            </w:r>
          </w:p>
        </w:tc>
        <w:tc>
          <w:tcPr>
            <w:tcW w:w="396" w:type="pct"/>
            <w:noWrap w:val="0"/>
            <w:vAlign w:val="center"/>
          </w:tcPr>
          <w:p w14:paraId="46CCCC7B">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56" w:type="pct"/>
            <w:noWrap w:val="0"/>
            <w:vAlign w:val="center"/>
          </w:tcPr>
          <w:p w14:paraId="5A4C890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w:t>
            </w:r>
          </w:p>
        </w:tc>
        <w:tc>
          <w:tcPr>
            <w:tcW w:w="586" w:type="pct"/>
            <w:tcBorders>
              <w:right w:val="single" w:color="auto" w:sz="4" w:space="0"/>
            </w:tcBorders>
            <w:noWrap w:val="0"/>
            <w:vAlign w:val="center"/>
          </w:tcPr>
          <w:p w14:paraId="0B61A19C">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1CD7158E">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13E9D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664B4702">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803" w:type="pct"/>
            <w:noWrap w:val="0"/>
            <w:vAlign w:val="center"/>
          </w:tcPr>
          <w:p w14:paraId="6D8ED163">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水下灯（白色）</w:t>
            </w:r>
          </w:p>
        </w:tc>
        <w:tc>
          <w:tcPr>
            <w:tcW w:w="2150" w:type="pct"/>
            <w:noWrap w:val="0"/>
            <w:vAlign w:val="center"/>
          </w:tcPr>
          <w:p w14:paraId="1A2DEC61">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水下灯换新安装</w:t>
            </w:r>
          </w:p>
          <w:p w14:paraId="466EA2B0">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1、灯具功率125W</w:t>
            </w:r>
          </w:p>
          <w:p w14:paraId="291D63E7">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2、304不锈钢材质</w:t>
            </w:r>
          </w:p>
          <w:p w14:paraId="2FE1F103">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3、安装、调试（含单体及各系统整体、联合调试）</w:t>
            </w:r>
          </w:p>
        </w:tc>
        <w:tc>
          <w:tcPr>
            <w:tcW w:w="396" w:type="pct"/>
            <w:noWrap w:val="0"/>
            <w:vAlign w:val="center"/>
          </w:tcPr>
          <w:p w14:paraId="7050F7D4">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56" w:type="pct"/>
            <w:noWrap w:val="0"/>
            <w:vAlign w:val="center"/>
          </w:tcPr>
          <w:p w14:paraId="20C9DE7B">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586" w:type="pct"/>
            <w:tcBorders>
              <w:right w:val="single" w:color="auto" w:sz="4" w:space="0"/>
            </w:tcBorders>
            <w:noWrap w:val="0"/>
            <w:vAlign w:val="center"/>
          </w:tcPr>
          <w:p w14:paraId="73D566AA">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3D98874B">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6241F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47CEC080">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803" w:type="pct"/>
            <w:noWrap w:val="0"/>
            <w:vAlign w:val="center"/>
          </w:tcPr>
          <w:p w14:paraId="65FE1D75">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变频器7.5KW</w:t>
            </w:r>
          </w:p>
        </w:tc>
        <w:tc>
          <w:tcPr>
            <w:tcW w:w="2150" w:type="pct"/>
            <w:noWrap w:val="0"/>
            <w:vAlign w:val="center"/>
          </w:tcPr>
          <w:p w14:paraId="0B298BE2">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变频器7.5KW换新安装</w:t>
            </w:r>
          </w:p>
          <w:p w14:paraId="00E5A164">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1、变频器7.5KW</w:t>
            </w:r>
          </w:p>
          <w:p w14:paraId="37D814CC">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2、安装、调试（含单体及各系统整体、联合调试）</w:t>
            </w:r>
          </w:p>
        </w:tc>
        <w:tc>
          <w:tcPr>
            <w:tcW w:w="396" w:type="pct"/>
            <w:noWrap w:val="0"/>
            <w:vAlign w:val="center"/>
          </w:tcPr>
          <w:p w14:paraId="11C055C6">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56" w:type="pct"/>
            <w:noWrap w:val="0"/>
            <w:vAlign w:val="center"/>
          </w:tcPr>
          <w:p w14:paraId="32F6427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586" w:type="pct"/>
            <w:tcBorders>
              <w:right w:val="single" w:color="auto" w:sz="4" w:space="0"/>
            </w:tcBorders>
            <w:noWrap w:val="0"/>
            <w:vAlign w:val="center"/>
          </w:tcPr>
          <w:p w14:paraId="23A2F5A2">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1CC6CC67">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236CC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1" w:type="pct"/>
            <w:noWrap w:val="0"/>
            <w:vAlign w:val="center"/>
          </w:tcPr>
          <w:p w14:paraId="3BDD1524">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803" w:type="pct"/>
            <w:noWrap w:val="0"/>
            <w:vAlign w:val="center"/>
          </w:tcPr>
          <w:p w14:paraId="22F1D6E4">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高压软管</w:t>
            </w:r>
          </w:p>
        </w:tc>
        <w:tc>
          <w:tcPr>
            <w:tcW w:w="2150" w:type="pct"/>
            <w:noWrap w:val="0"/>
            <w:vAlign w:val="center"/>
          </w:tcPr>
          <w:p w14:paraId="18BC476C">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高压软管换新安装</w:t>
            </w:r>
          </w:p>
          <w:p w14:paraId="4DFD3A41">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1.丁晴橡胶，内置高强度钢丝,2米/根,承压1.6Mpa，含原有管的拆除、更换、安装及调试</w:t>
            </w:r>
          </w:p>
        </w:tc>
        <w:tc>
          <w:tcPr>
            <w:tcW w:w="396" w:type="pct"/>
            <w:noWrap w:val="0"/>
            <w:vAlign w:val="center"/>
          </w:tcPr>
          <w:p w14:paraId="3D108030">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根</w:t>
            </w:r>
          </w:p>
        </w:tc>
        <w:tc>
          <w:tcPr>
            <w:tcW w:w="456" w:type="pct"/>
            <w:noWrap w:val="0"/>
            <w:vAlign w:val="center"/>
          </w:tcPr>
          <w:p w14:paraId="25BA6D4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586" w:type="pct"/>
            <w:tcBorders>
              <w:right w:val="single" w:color="auto" w:sz="4" w:space="0"/>
            </w:tcBorders>
            <w:noWrap w:val="0"/>
            <w:vAlign w:val="center"/>
          </w:tcPr>
          <w:p w14:paraId="06E84C36">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354" w:type="pct"/>
            <w:tcBorders>
              <w:left w:val="single" w:color="auto" w:sz="4" w:space="0"/>
            </w:tcBorders>
            <w:noWrap w:val="0"/>
            <w:vAlign w:val="center"/>
          </w:tcPr>
          <w:p w14:paraId="55062D16">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bl>
    <w:p w14:paraId="3B7F77F7">
      <w:pPr>
        <w:shd w:val="clear"/>
        <w:spacing w:after="0" w:line="360" w:lineRule="auto"/>
        <w:ind w:right="-2"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注：设备维修更换工程量为预估数量。设备维修更换前，中标人应向招标人书面提交维修更换清单，经招标人同意并双方签字盖章后，方可实施。中标人不得因设备维修更换数量增加或减少而调整中标综合单价</w:t>
      </w:r>
    </w:p>
    <w:p w14:paraId="479EAB94">
      <w:pPr>
        <w:shd w:val="clear"/>
        <w:spacing w:after="0" w:line="360" w:lineRule="auto"/>
        <w:ind w:right="-2" w:firstLine="482" w:firstLineChars="200"/>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lang w:val="en-US" w:eastAsia="zh-CN"/>
        </w:rPr>
        <w:t>三</w:t>
      </w:r>
      <w:r>
        <w:rPr>
          <w:rFonts w:hint="eastAsia" w:ascii="宋体" w:hAnsi="Calibri" w:cs="Times New Roman"/>
          <w:b/>
          <w:color w:val="auto"/>
          <w:kern w:val="2"/>
          <w:sz w:val="24"/>
          <w:szCs w:val="24"/>
          <w:highlight w:val="none"/>
        </w:rPr>
        <w:t>、服务要求</w:t>
      </w:r>
    </w:p>
    <w:p w14:paraId="5F125E1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w:t>
      </w:r>
      <w:r>
        <w:rPr>
          <w:rFonts w:hint="eastAsia" w:ascii="宋体" w:hAnsi="Calibri" w:cs="Times New Roman"/>
          <w:bCs/>
          <w:color w:val="auto"/>
          <w:kern w:val="2"/>
          <w:sz w:val="24"/>
          <w:szCs w:val="24"/>
          <w:highlight w:val="none"/>
        </w:rPr>
        <w:t>1</w:t>
      </w:r>
      <w:r>
        <w:rPr>
          <w:rFonts w:hint="eastAsia" w:ascii="宋体" w:hAnsi="Calibri" w:cs="Times New Roman"/>
          <w:bCs/>
          <w:color w:val="auto"/>
          <w:kern w:val="2"/>
          <w:sz w:val="24"/>
          <w:szCs w:val="24"/>
          <w:highlight w:val="none"/>
          <w:lang w:val="en-US" w:eastAsia="zh-CN"/>
        </w:rPr>
        <w:t>.</w:t>
      </w:r>
      <w:r>
        <w:rPr>
          <w:rFonts w:hint="eastAsia" w:ascii="宋体" w:hAnsi="Calibri" w:cs="Times New Roman"/>
          <w:bCs/>
          <w:color w:val="auto"/>
          <w:kern w:val="2"/>
          <w:sz w:val="24"/>
          <w:szCs w:val="24"/>
          <w:highlight w:val="none"/>
        </w:rPr>
        <w:t>2025年度维修更换设备不包括2024年《东港灯光音乐喷泉改造项目》已更换设施设备。</w:t>
      </w:r>
    </w:p>
    <w:p w14:paraId="483AC01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w:t>
      </w:r>
      <w:r>
        <w:rPr>
          <w:rFonts w:hint="eastAsia" w:ascii="宋体" w:hAnsi="Calibri" w:cs="Times New Roman"/>
          <w:bCs/>
          <w:color w:val="auto"/>
          <w:kern w:val="2"/>
          <w:sz w:val="24"/>
          <w:szCs w:val="24"/>
          <w:highlight w:val="none"/>
        </w:rPr>
        <w:t>2</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在实施前须书面向招标人请示，经招标人同意后方可实施。喷泉设备设施出现故障由</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向招标人提出书面申请及维修更换方案，经招标人同意后可进行拆除及整机换新。在维修更换过程中应留存维修更换前后的影像资料，做好文字记录，用于结算。</w:t>
      </w:r>
    </w:p>
    <w:p w14:paraId="5820504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w:t>
      </w:r>
      <w:r>
        <w:rPr>
          <w:rFonts w:hint="eastAsia" w:ascii="宋体" w:hAnsi="Calibri" w:cs="Times New Roman"/>
          <w:bCs/>
          <w:color w:val="auto"/>
          <w:kern w:val="2"/>
          <w:sz w:val="24"/>
          <w:szCs w:val="24"/>
          <w:highlight w:val="none"/>
        </w:rPr>
        <w:t>3</w:t>
      </w:r>
      <w:r>
        <w:rPr>
          <w:rFonts w:hint="eastAsia" w:ascii="宋体" w:hAnsi="Calibri" w:cs="Times New Roman"/>
          <w:bCs/>
          <w:color w:val="auto"/>
          <w:kern w:val="2"/>
          <w:sz w:val="24"/>
          <w:szCs w:val="24"/>
          <w:highlight w:val="none"/>
          <w:lang w:val="en-US" w:eastAsia="zh-CN"/>
        </w:rPr>
        <w:t>.</w:t>
      </w:r>
      <w:r>
        <w:rPr>
          <w:rFonts w:hint="eastAsia" w:ascii="宋体" w:hAnsi="Calibri" w:cs="Times New Roman"/>
          <w:bCs/>
          <w:color w:val="auto"/>
          <w:kern w:val="2"/>
          <w:sz w:val="24"/>
          <w:szCs w:val="24"/>
          <w:highlight w:val="none"/>
        </w:rPr>
        <w:t>每年年度表演结束或年度开始表演前，对喷泉设备进行全面大型检查、维修各一次。</w:t>
      </w:r>
    </w:p>
    <w:p w14:paraId="2AE39CE9">
      <w:pPr>
        <w:shd w:val="clear"/>
        <w:spacing w:after="0" w:line="360" w:lineRule="auto"/>
        <w:ind w:right="-2" w:firstLine="482" w:firstLineChars="200"/>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lang w:val="en-US" w:eastAsia="zh-CN"/>
        </w:rPr>
        <w:t>★四、</w:t>
      </w:r>
      <w:r>
        <w:rPr>
          <w:rFonts w:hint="eastAsia" w:ascii="宋体" w:hAnsi="Calibri" w:cs="Times New Roman"/>
          <w:b/>
          <w:color w:val="auto"/>
          <w:kern w:val="2"/>
          <w:sz w:val="24"/>
          <w:szCs w:val="24"/>
          <w:highlight w:val="none"/>
        </w:rPr>
        <w:t>日常运行维护技术要求</w:t>
      </w:r>
    </w:p>
    <w:p w14:paraId="56A6F763">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（一）</w:t>
      </w:r>
      <w:r>
        <w:rPr>
          <w:rFonts w:hint="eastAsia" w:ascii="宋体" w:hAnsi="Calibri" w:cs="Times New Roman"/>
          <w:bCs/>
          <w:color w:val="auto"/>
          <w:kern w:val="2"/>
          <w:sz w:val="24"/>
          <w:szCs w:val="24"/>
          <w:highlight w:val="none"/>
        </w:rPr>
        <w:t>主要日常工作</w:t>
      </w:r>
    </w:p>
    <w:p w14:paraId="07CFCDD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w:t>
      </w:r>
      <w:r>
        <w:rPr>
          <w:rFonts w:hint="eastAsia" w:ascii="宋体" w:hAnsi="Calibri" w:cs="Times New Roman"/>
          <w:bCs/>
          <w:color w:val="auto"/>
          <w:kern w:val="2"/>
          <w:sz w:val="24"/>
          <w:szCs w:val="24"/>
          <w:highlight w:val="none"/>
        </w:rPr>
        <w:t>喷泉喷放时间从每年四月中旬至十月末，约六个月。每天定时喷放喷泉，无节假日，节假日正常表演，天气影响除外，按招标人要求时间每天平均表演4次，同时另须满足临时接待表演要求；</w:t>
      </w:r>
    </w:p>
    <w:p w14:paraId="35DA30D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2.</w:t>
      </w:r>
      <w:r>
        <w:rPr>
          <w:rFonts w:hint="eastAsia" w:ascii="宋体" w:hAnsi="Calibri" w:cs="Times New Roman"/>
          <w:bCs/>
          <w:color w:val="auto"/>
          <w:kern w:val="2"/>
          <w:sz w:val="24"/>
          <w:szCs w:val="24"/>
          <w:highlight w:val="none"/>
        </w:rPr>
        <w:t>合同期内喷泉出现故障，</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须在24小时内排除故障完成维修，保证喷泉的正常运行，确保表演效果。特殊情况与招标人沟通确定完成维修时间</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应为24小内排除故障完成维修配备必要的设备、材料。</w:t>
      </w:r>
    </w:p>
    <w:p w14:paraId="0E659A14">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3.</w:t>
      </w:r>
      <w:r>
        <w:rPr>
          <w:rFonts w:hint="eastAsia" w:ascii="宋体" w:hAnsi="Calibri" w:cs="Times New Roman"/>
          <w:bCs/>
          <w:color w:val="auto"/>
          <w:kern w:val="2"/>
          <w:sz w:val="24"/>
          <w:szCs w:val="24"/>
          <w:highlight w:val="none"/>
        </w:rPr>
        <w:t>合同期内保证喷泉表演的整齐度，在每场表演前对数控喷头校准调直；</w:t>
      </w:r>
    </w:p>
    <w:p w14:paraId="6F5443B4">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4.</w:t>
      </w:r>
      <w:r>
        <w:rPr>
          <w:rFonts w:hint="eastAsia" w:ascii="宋体" w:hAnsi="Calibri" w:cs="Times New Roman"/>
          <w:bCs/>
          <w:color w:val="auto"/>
          <w:kern w:val="2"/>
          <w:sz w:val="24"/>
          <w:szCs w:val="24"/>
          <w:highlight w:val="none"/>
        </w:rPr>
        <w:t>服务期内保证表演水位，及时补水；保持水面清洁，有大型的漂浮物及时清理；</w:t>
      </w:r>
    </w:p>
    <w:p w14:paraId="2F764A7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5.</w:t>
      </w:r>
      <w:r>
        <w:rPr>
          <w:rFonts w:hint="eastAsia" w:ascii="宋体" w:hAnsi="Calibri" w:cs="Times New Roman"/>
          <w:bCs/>
          <w:color w:val="auto"/>
          <w:kern w:val="2"/>
          <w:sz w:val="24"/>
          <w:szCs w:val="24"/>
          <w:highlight w:val="none"/>
        </w:rPr>
        <w:t>每年年度表演结束或年度开始表演前，对喷泉设备进行全面大型检查、维修各一次；</w:t>
      </w:r>
    </w:p>
    <w:p w14:paraId="761CB29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6.</w:t>
      </w:r>
      <w:r>
        <w:rPr>
          <w:rFonts w:hint="eastAsia" w:ascii="宋体" w:hAnsi="Calibri" w:cs="Times New Roman"/>
          <w:bCs/>
          <w:color w:val="auto"/>
          <w:kern w:val="2"/>
          <w:sz w:val="24"/>
          <w:szCs w:val="24"/>
          <w:highlight w:val="none"/>
        </w:rPr>
        <w:t>服务期内满足维修养护方案要求。</w:t>
      </w:r>
    </w:p>
    <w:p w14:paraId="3826338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7.</w:t>
      </w:r>
      <w:r>
        <w:rPr>
          <w:rFonts w:hint="eastAsia" w:ascii="宋体" w:hAnsi="Calibri" w:cs="Times New Roman"/>
          <w:bCs/>
          <w:color w:val="auto"/>
          <w:kern w:val="2"/>
          <w:sz w:val="24"/>
          <w:szCs w:val="24"/>
          <w:highlight w:val="none"/>
        </w:rPr>
        <w:t>每次维修后将维修和维护设备配件技术参数，设备配件日常维护注意事项、设备配件生产厂家及联系方式形成资料交给</w:t>
      </w:r>
      <w:r>
        <w:rPr>
          <w:rFonts w:hint="eastAsia" w:ascii="宋体" w:hAnsi="Calibri" w:cs="Times New Roman"/>
          <w:bCs/>
          <w:color w:val="auto"/>
          <w:kern w:val="2"/>
          <w:sz w:val="24"/>
          <w:szCs w:val="24"/>
          <w:highlight w:val="none"/>
          <w:lang w:val="en-US" w:eastAsia="zh-CN"/>
        </w:rPr>
        <w:t>招标人</w:t>
      </w:r>
      <w:r>
        <w:rPr>
          <w:rFonts w:hint="eastAsia" w:ascii="宋体" w:hAnsi="Calibri" w:cs="Times New Roman"/>
          <w:bCs/>
          <w:color w:val="auto"/>
          <w:kern w:val="2"/>
          <w:sz w:val="24"/>
          <w:szCs w:val="24"/>
          <w:highlight w:val="none"/>
        </w:rPr>
        <w:t>。更换下来旧设备配件存放于招标人指定地点；</w:t>
      </w:r>
    </w:p>
    <w:p w14:paraId="14A9C50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（二）</w:t>
      </w:r>
      <w:r>
        <w:rPr>
          <w:rFonts w:hint="eastAsia" w:ascii="宋体" w:hAnsi="Calibri" w:cs="Times New Roman"/>
          <w:bCs/>
          <w:color w:val="auto"/>
          <w:kern w:val="2"/>
          <w:sz w:val="24"/>
          <w:szCs w:val="24"/>
          <w:highlight w:val="none"/>
        </w:rPr>
        <w:t>维修养护方案</w:t>
      </w:r>
    </w:p>
    <w:p w14:paraId="56DA7FC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w:t>
      </w:r>
      <w:r>
        <w:rPr>
          <w:rFonts w:hint="eastAsia" w:ascii="宋体" w:hAnsi="Calibri" w:cs="Times New Roman"/>
          <w:bCs/>
          <w:color w:val="auto"/>
          <w:kern w:val="2"/>
          <w:sz w:val="24"/>
          <w:szCs w:val="24"/>
          <w:highlight w:val="none"/>
        </w:rPr>
        <w:t>日常维护</w:t>
      </w:r>
    </w:p>
    <w:p w14:paraId="0F0307FC">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1.1</w:t>
      </w:r>
      <w:r>
        <w:rPr>
          <w:rFonts w:hint="eastAsia" w:ascii="宋体" w:hAnsi="Calibri" w:cs="Times New Roman"/>
          <w:bCs/>
          <w:color w:val="auto"/>
          <w:kern w:val="2"/>
          <w:sz w:val="24"/>
          <w:szCs w:val="24"/>
          <w:highlight w:val="none"/>
        </w:rPr>
        <w:t>喷泉运行前：</w:t>
      </w:r>
    </w:p>
    <w:p w14:paraId="4EE41F7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1）保持水质的清洁，喷泉（池）范围内不得有漂浮物；</w:t>
      </w:r>
    </w:p>
    <w:p w14:paraId="1399136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2）检查计算机、控制柜的各连接线、数据线之间的连接情况，保证能正常使用；</w:t>
      </w:r>
    </w:p>
    <w:p w14:paraId="2FEB80F3">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3）检查水位是否满足要求，水位一般保持能够淹没水下LED灯为准；</w:t>
      </w:r>
    </w:p>
    <w:p w14:paraId="6DE5D95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4）保证无游人在喷泉（池栏杆范围内和）池中戏水；</w:t>
      </w:r>
    </w:p>
    <w:p w14:paraId="48027BA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5）检查喷头有无倾斜，保证喷头处在垂直（或正确）位置。</w:t>
      </w:r>
    </w:p>
    <w:p w14:paraId="4A51232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6）保证电脑设备、控制软件系统正常运转。</w:t>
      </w:r>
    </w:p>
    <w:p w14:paraId="4D6967C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7）检查配电柜三相电源是否正常。</w:t>
      </w:r>
    </w:p>
    <w:p w14:paraId="7FDBE3C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8）检查控制柜状态是否正常，各分路空开是否已开启。</w:t>
      </w:r>
    </w:p>
    <w:p w14:paraId="7EBE5915">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9）检查音响系统是否已开启。</w:t>
      </w:r>
    </w:p>
    <w:p w14:paraId="207CAAF4">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10）检查空压机是否已开启，是否达到工作压力。</w:t>
      </w:r>
    </w:p>
    <w:p w14:paraId="3DC2E99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1.2</w:t>
      </w:r>
      <w:r>
        <w:rPr>
          <w:rFonts w:hint="eastAsia" w:ascii="宋体" w:hAnsi="Calibri" w:cs="Times New Roman"/>
          <w:bCs/>
          <w:color w:val="auto"/>
          <w:kern w:val="2"/>
          <w:sz w:val="24"/>
          <w:szCs w:val="24"/>
          <w:highlight w:val="none"/>
        </w:rPr>
        <w:t>喷泉运行中：</w:t>
      </w:r>
    </w:p>
    <w:p w14:paraId="7BD7808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1）注意检查每个喷头喷水高度和喷水效果、水下彩灯有无不亮，音响有无不响。如有要在喷泉表演结束后查明原因及时修复；</w:t>
      </w:r>
    </w:p>
    <w:p w14:paraId="291D955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2）检查空压机、变频器、驱动器是否有异常震动和异常噪声，保证设备正常；</w:t>
      </w:r>
    </w:p>
    <w:p w14:paraId="381F1C9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3）目测各仪表盘读数是否有过载、过流、过压欠压等不正常现象，保证设备处于正常状态；</w:t>
      </w:r>
    </w:p>
    <w:p w14:paraId="3FF5911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4）控制室内和表演现场必须分别有不少于2人值班，要随时互相取得联系，如有意外事故发生应立即切断总电源，操作人员必须持电工证上岗；</w:t>
      </w:r>
    </w:p>
    <w:p w14:paraId="3F139BF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5）控制室内必须不少于2名专业人员操作（持电工证上岗），非专业人员严禁入内;</w:t>
      </w:r>
    </w:p>
    <w:p w14:paraId="7EDA979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6）保证水形、灯光变化与音乐节拍基本同步。</w:t>
      </w:r>
    </w:p>
    <w:p w14:paraId="173C157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7）备用主机在运行状态，喷泉程序开启，（备用电脑主机应保持可随时开启）若喷泉运行主机出现故障可以保证随时切换至备用主机。</w:t>
      </w:r>
    </w:p>
    <w:p w14:paraId="0F65FF65">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1.3</w:t>
      </w:r>
      <w:r>
        <w:rPr>
          <w:rFonts w:hint="eastAsia" w:ascii="宋体" w:hAnsi="Calibri" w:cs="Times New Roman"/>
          <w:bCs/>
          <w:color w:val="auto"/>
          <w:kern w:val="2"/>
          <w:sz w:val="24"/>
          <w:szCs w:val="24"/>
          <w:highlight w:val="none"/>
        </w:rPr>
        <w:t>喷泉运行后：</w:t>
      </w:r>
    </w:p>
    <w:p w14:paraId="3824105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1）检查全部喷头、阀门书否堵塞、水型是否整齐，是否需要调整；</w:t>
      </w:r>
    </w:p>
    <w:p w14:paraId="5432D99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2）水下灯是否有缺色、不亮、坏点等状态；</w:t>
      </w:r>
    </w:p>
    <w:p w14:paraId="52C1ABD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3）数控摇摆喷头是否存在传感器失效、无法找零、摇摆不同步等情况；</w:t>
      </w:r>
    </w:p>
    <w:p w14:paraId="5B3B0DF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4）控制室内控制柜电器系统是否有跳闸、熔断器烧毁、固态继电器开路、步进电机驱动器失灵、网络系统不可靠等情况。</w:t>
      </w:r>
    </w:p>
    <w:p w14:paraId="1D6E198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5）对损坏设备及时维修更换，确保设备处于良好运行及备用状态。</w:t>
      </w:r>
    </w:p>
    <w:p w14:paraId="0B9071D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6）喷泉现场必须有专人值班；</w:t>
      </w:r>
    </w:p>
    <w:p w14:paraId="534A2AF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7）在每次离开现场时切断控制室内的电源，并做好防盗工作；</w:t>
      </w:r>
    </w:p>
    <w:p w14:paraId="20A88BC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8）在控制室内不得私自乱接用电器和乱拉电线；</w:t>
      </w:r>
    </w:p>
    <w:p w14:paraId="3317D76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9）控制室内必须保持卫生、通风、干燥；</w:t>
      </w:r>
    </w:p>
    <w:p w14:paraId="3B984F2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10）喷泉操作人员严格按照规程操作，控制电脑不得挪做其他用处，严禁在上面打游戏、看电影等娱乐活动，不得随意在可移动盘符连接并且篡改电脑内的数据，严禁随意自行改变喷泉设备的启停顺序，熟悉各类控制柜的范围和所控制的系统范围；</w:t>
      </w:r>
    </w:p>
    <w:p w14:paraId="3BA9574C">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11）管理人员要有相关上岗证，在管理喷泉、操作设备时要按照国家有关标准进行，对没有按照国家有关标准进行操作所造成的事故由养护单位负全责；</w:t>
      </w:r>
    </w:p>
    <w:p w14:paraId="745C6DB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12）</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管理人员名单和联系方式提交给招标人，</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养护管理人员需有相对稳定性，如有变更要及时通知招标人，</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管理负责人要保持24小时通讯畅通；</w:t>
      </w:r>
    </w:p>
    <w:p w14:paraId="1381F8D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13）除招标人临时紧急通知</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开启和关闭喷泉外，</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按照规定的时间开启和关闭喷泉，不得擅自更改；</w:t>
      </w:r>
    </w:p>
    <w:p w14:paraId="1C95A7A5">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1.4</w:t>
      </w:r>
      <w:r>
        <w:rPr>
          <w:rFonts w:hint="eastAsia" w:ascii="宋体" w:hAnsi="Calibri" w:cs="Times New Roman"/>
          <w:bCs/>
          <w:color w:val="auto"/>
          <w:kern w:val="2"/>
          <w:sz w:val="24"/>
          <w:szCs w:val="24"/>
          <w:highlight w:val="none"/>
        </w:rPr>
        <w:t>喷泉表演期间的周期性维护</w:t>
      </w:r>
    </w:p>
    <w:p w14:paraId="35C79D3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1.每周检查如下设备</w:t>
      </w:r>
    </w:p>
    <w:p w14:paraId="69F7D85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1）喷泉水下灯、水下步进电机、喷头、气爆喷头、跑泉设备等水中设备检查、紧固松动的螺丝，避免灯体进水造成短路故障。</w:t>
      </w:r>
    </w:p>
    <w:p w14:paraId="0FEA6DAC">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2）管路(包括喷头、阀门)除锈、焊接、油漆、防漏水、更换；</w:t>
      </w:r>
    </w:p>
    <w:p w14:paraId="62BE95A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3）电气元件、电气设备、电缆、灯参数检测、漏电安全检测、灵敏度检测、绝缘检测、老化检查、更换；</w:t>
      </w:r>
    </w:p>
    <w:p w14:paraId="5B9D48A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4）空压机气阀片、活塞环、空气滤芯等易损件进行老化检查，更换。压缩机润滑油检查，增加。</w:t>
      </w:r>
    </w:p>
    <w:p w14:paraId="673B940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2.每个月对全体喷泉设备大检（整体调休）一次。</w:t>
      </w:r>
    </w:p>
    <w:p w14:paraId="584C12A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3.每月对水泵吸水口进行清洗，防止污物堵塞吸口，降低工效甚至造成设备损坏。</w:t>
      </w:r>
    </w:p>
    <w:p w14:paraId="4417363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4.每月定期检查水面以上的电线电缆老化情况。大型喷泉工程要定期进行维护，由于水下有大量电线电缆，一定要格外注意防老化、防漏电现象，确保开放时不发生安全事故。</w:t>
      </w:r>
    </w:p>
    <w:p w14:paraId="6B9A4044">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5.每年进行一次喷泉管路清洗维护。</w:t>
      </w:r>
    </w:p>
    <w:p w14:paraId="35314D4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（三）季节性维护</w:t>
      </w:r>
    </w:p>
    <w:p w14:paraId="4911D0C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1.喷泉过冬防护</w:t>
      </w:r>
    </w:p>
    <w:p w14:paraId="6782A85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1）喷泉应在气温降至0度以前停止使用，并进入过冬状态。</w:t>
      </w:r>
    </w:p>
    <w:p w14:paraId="3070848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2）喷泉过冬前对设备全部进行检测，需大修或保养的设备拆下利用过冬期间进行维修。</w:t>
      </w:r>
    </w:p>
    <w:p w14:paraId="28CF8C6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3）水池排水，设备在无水状态下过冬。池内不得存水，以免冻坏设备</w:t>
      </w:r>
    </w:p>
    <w:p w14:paraId="182FD5B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2.春季恢复</w:t>
      </w:r>
    </w:p>
    <w:p w14:paraId="46F2533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1）在春季，日常平均气温大于5度以后，喷泉可以恢复启用。</w:t>
      </w:r>
    </w:p>
    <w:p w14:paraId="1791B95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2）对设备重新进行检测。冬季维修的设备重新安装。</w:t>
      </w:r>
    </w:p>
    <w:p w14:paraId="7AEEFDD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3）使用前对水泵吸水口进行清理，LED灯清洗检测，水膜喷头进行调整，电磁阀全部进行通断试验检测，数控全部进行调试找零位等。</w:t>
      </w:r>
    </w:p>
    <w:p w14:paraId="516C548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4）冬季进行维修保养的设备进行安装调试。</w:t>
      </w:r>
    </w:p>
    <w:p w14:paraId="778A8F1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5）气爆管道进行压力试验和泄露性试验，管道螺纹连接处如有漏气，做好标记，重新进行调整连接。</w:t>
      </w:r>
    </w:p>
    <w:p w14:paraId="71055A6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6）对水泵进行启动检测，对锈死无法启动的的水泵采用敲打震荡、盘轴、电流冲击等方式对其进行恢复启动。</w:t>
      </w:r>
    </w:p>
    <w:p w14:paraId="75487F4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7）检测完毕后，水池注水。进入整体调试。</w:t>
      </w:r>
    </w:p>
    <w:p w14:paraId="6039E675">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8）控制系统检查。</w:t>
      </w:r>
    </w:p>
    <w:p w14:paraId="304D6CC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9）音响系统检查</w:t>
      </w:r>
    </w:p>
    <w:p w14:paraId="1E137E9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10）进入曲目表演调试，达到灯光、水型与音乐配合精准，水型喷高、动作准确一致。</w:t>
      </w:r>
    </w:p>
    <w:p w14:paraId="4C928BCC">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（四） 专项维修养护方案</w:t>
      </w:r>
    </w:p>
    <w:p w14:paraId="4EE1ECB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1.喷泉的水质服务</w:t>
      </w:r>
    </w:p>
    <w:p w14:paraId="46D3F90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喷泉供水水质符合现行《生活用水卫生标准》规定的感官性状指标要求即：</w:t>
      </w:r>
    </w:p>
    <w:p w14:paraId="0392F7F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1）色度不超过15度，并不得呈现其它异色，混浊度不超过10度；不得含有肉眼可见物。</w:t>
      </w:r>
    </w:p>
    <w:p w14:paraId="2034E8D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2）物化指标：水中杂质含量不大于0.1%杂质粒度不大于0.2毫米；氯离子含量不超过400mm/L值在6.5~8.5范围内</w:t>
      </w:r>
    </w:p>
    <w:p w14:paraId="6160E50C">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3）当喷泉供水水质出现问题，需要即可对供水水质进行净化，在此期间不可以进行喷泉表演，要等到水质达标方可进行喷泉设备的操作。</w:t>
      </w:r>
    </w:p>
    <w:p w14:paraId="714E7C9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2.喷头的维护</w:t>
      </w:r>
    </w:p>
    <w:p w14:paraId="398B559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1）喷头每个月做一次清理维护，安装时注意喷头与管路连接的紧密性，上喷头时在管路套丝处缠一层生料带，以免出现漏水现象，影响喷水效果，同时做好喷头的防盗措施。</w:t>
      </w:r>
    </w:p>
    <w:p w14:paraId="2409346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2）为保证喷泉花型美观一致，随时将变动角度的喷头进行复位，复位时不使用锐利物体敲击，防止喷头损坏。</w:t>
      </w:r>
    </w:p>
    <w:p w14:paraId="7FC531A1">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3.水下彩灯的维护</w:t>
      </w:r>
    </w:p>
    <w:p w14:paraId="31D821C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1）水下彩灯是喷泉设备中较易损坏的部件，为降低彩灯的受损率维护单位应做到以下几点：</w:t>
      </w:r>
    </w:p>
    <w:p w14:paraId="6EA9DA8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2）喷泉水下灯每月检查、紧固一次松动的螺丝（特别要关注跑泉），避免灯体进水造成短路故障。</w:t>
      </w:r>
    </w:p>
    <w:p w14:paraId="60DB63F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3）喷泉（每年表演期间，根据实际灯光效果至少进行一次清洗）每半年进行一次清洗，清洗时特别注意喷头立管及水下彩灯，防止造成水下灯损坏。</w:t>
      </w:r>
    </w:p>
    <w:p w14:paraId="45FFA3D4">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4）在无水的条件下进行更换水下灯，并将螺栓紧固牢靠。</w:t>
      </w:r>
    </w:p>
    <w:p w14:paraId="3EEB101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4.喷泉水泵的维护</w:t>
      </w:r>
    </w:p>
    <w:p w14:paraId="559C064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1）水泵每运转1000小时应大检一次，半年或连续运转500小时小检一次。检查机组有无损失、紧固件有无松动、电缆有无损伤，另外卸下滤水网，从进水节处转动泵轴应灵活，不得有卡死现象。</w:t>
      </w:r>
    </w:p>
    <w:p w14:paraId="44322C7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2）每月清洗喷泉水泵吸水口，防止污物堵塞吸口，降低工效甚至造成设备</w:t>
      </w:r>
      <w:r>
        <w:rPr>
          <w:rFonts w:hint="eastAsia" w:ascii="宋体" w:hAnsi="Calibri" w:cs="Times New Roman"/>
          <w:bCs/>
          <w:color w:val="auto"/>
          <w:kern w:val="2"/>
          <w:sz w:val="24"/>
          <w:szCs w:val="24"/>
          <w:highlight w:val="none"/>
          <w:lang w:eastAsia="zh-CN"/>
        </w:rPr>
        <w:t>损坏</w:t>
      </w:r>
      <w:r>
        <w:rPr>
          <w:rFonts w:hint="eastAsia" w:ascii="宋体" w:hAnsi="Calibri" w:cs="Times New Roman"/>
          <w:bCs/>
          <w:color w:val="auto"/>
          <w:kern w:val="2"/>
          <w:sz w:val="24"/>
          <w:szCs w:val="24"/>
          <w:highlight w:val="none"/>
        </w:rPr>
        <w:t>。</w:t>
      </w:r>
    </w:p>
    <w:p w14:paraId="661DB41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3）潜水泵在冬季停用期间将冷却水放光，避免结冰损坏泵体，油冷泵需要关闭阀门。</w:t>
      </w:r>
    </w:p>
    <w:p w14:paraId="4051ED4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 xml:space="preserve">4）水泵出现的故障及排除 </w:t>
      </w:r>
    </w:p>
    <w:p w14:paraId="3D41CD9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①不出水，间接出水或出水少。</w:t>
      </w:r>
    </w:p>
    <w:p w14:paraId="046DB01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原因：电机未启动、管路堵塞、管路破裂、滤水网堵死、吸水口露出水面、电泵反转、密封环、叶轮损坏。</w:t>
      </w:r>
    </w:p>
    <w:p w14:paraId="28DDF9F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措施：排除电路故障、清除堵塞物、补焊或换管、清除堵塞物、调换电源线相序、更换新件</w:t>
      </w:r>
    </w:p>
    <w:p w14:paraId="52F74151">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②电机不能启动并伴有嗡嗡声。</w:t>
      </w:r>
    </w:p>
    <w:p w14:paraId="3294211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原因：其中一相断路、轴承抱轴、叶轮内有异物、电压低。</w:t>
      </w:r>
    </w:p>
    <w:p w14:paraId="0305C4E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措施：修复线路、修复或更换轴承、清除异物、调整电压。</w:t>
      </w:r>
    </w:p>
    <w:p w14:paraId="7E0CBD2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③电机绕阻对地绝缘电阻偏低、电机绕阻及电缆接头或电缆有损伤、更换绕阻修补接头或电缆。</w:t>
      </w:r>
    </w:p>
    <w:p w14:paraId="006507B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lang w:val="en-US" w:eastAsia="zh-CN"/>
        </w:rPr>
        <w:t>五</w:t>
      </w: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rPr>
        <w:t>喷泉电缆的维护</w:t>
      </w:r>
    </w:p>
    <w:p w14:paraId="4826EAC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1）在无水的条件下进行防水电缆的连接，并用防水胶带、绝缘胶带、高压绝缘胶带进行三层防护，浸入水中24小时检测绝缘电阻不低于100兆欧。</w:t>
      </w:r>
    </w:p>
    <w:p w14:paraId="00C6CA5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2）每月定期检查水面以上的电线电缆老化情况，避免不必要的损失。</w:t>
      </w:r>
    </w:p>
    <w:p w14:paraId="755859D3">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6.喷泉电器设备的维护</w:t>
      </w:r>
    </w:p>
    <w:p w14:paraId="626FD331">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1）在切断电源的条件下进行电器设备的维护检修，如特殊情况需要带电作业时，做好安全防护措施，重要部位设专人监护。</w:t>
      </w:r>
    </w:p>
    <w:p w14:paraId="5C59552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2）对喷泉电器设备定期维护，每半年对柜子里的电器易损设备进行检测级做必要的维护。</w:t>
      </w:r>
    </w:p>
    <w:p w14:paraId="714E4B4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3）电磁阀膜片更换时将脱落在管道内的物体全部清理干净，按对角线顺序进行紧固螺丝。</w:t>
      </w:r>
    </w:p>
    <w:p w14:paraId="78A44FA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lang w:val="en-US" w:eastAsia="zh-CN"/>
        </w:rPr>
        <w:t>六</w:t>
      </w: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rPr>
        <w:t>其他维护</w:t>
      </w:r>
    </w:p>
    <w:p w14:paraId="4C78E9C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1）对备用设备定期启动运行，使用频率高的每天一换，使用频率低的一次一换，防止设备性能减退。</w:t>
      </w:r>
    </w:p>
    <w:p w14:paraId="1C003DF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2）电脑系统每年进行升级，对电脑及程序进行必要的维护。</w:t>
      </w:r>
    </w:p>
    <w:p w14:paraId="58DD9E5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lang w:val="en-US" w:eastAsia="zh-CN"/>
        </w:rPr>
        <w:t>七</w:t>
      </w: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rPr>
        <w:t>其他</w:t>
      </w:r>
    </w:p>
    <w:p w14:paraId="569CE5BE">
      <w:pPr>
        <w:shd w:val="clear"/>
        <w:spacing w:after="0" w:line="360" w:lineRule="auto"/>
        <w:ind w:right="-2" w:firstLine="480" w:firstLineChars="200"/>
        <w:rPr>
          <w:rFonts w:hint="eastAsia"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1）投标人</w:t>
      </w:r>
      <w:r>
        <w:rPr>
          <w:rFonts w:hint="eastAsia" w:ascii="宋体" w:hAnsi="Calibri" w:cs="Times New Roman"/>
          <w:bCs/>
          <w:color w:val="auto"/>
          <w:kern w:val="2"/>
          <w:sz w:val="24"/>
          <w:szCs w:val="24"/>
          <w:highlight w:val="none"/>
        </w:rPr>
        <w:t>应当对员工进行安全教育，提供安全防护用具，合同履行期间，如发生安全事故或因</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原因导致的人身、财产损失，由</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自行承担全部法律责任。</w:t>
      </w:r>
    </w:p>
    <w:p w14:paraId="6B1DBD50">
      <w:pPr>
        <w:pStyle w:val="2"/>
        <w:shd w:val="clear"/>
        <w:ind w:firstLine="480" w:firstLineChars="200"/>
        <w:rPr>
          <w:rFonts w:hint="eastAsia" w:eastAsia="宋体"/>
          <w:color w:val="auto"/>
          <w:highlight w:val="none"/>
          <w:lang w:val="en-US" w:eastAsia="zh-CN"/>
        </w:rPr>
      </w:pPr>
      <w:r>
        <w:rPr>
          <w:rFonts w:hint="eastAsia" w:hAnsi="Calibri" w:cs="Times New Roman"/>
          <w:bCs/>
          <w:color w:val="auto"/>
          <w:kern w:val="2"/>
          <w:sz w:val="24"/>
          <w:szCs w:val="24"/>
          <w:highlight w:val="none"/>
          <w:lang w:val="en-US" w:eastAsia="zh-CN"/>
        </w:rPr>
        <w:t>2）质保期：更换配件部分，自更换后正式投运起一年。</w:t>
      </w:r>
    </w:p>
    <w:p w14:paraId="75ECCBD4">
      <w:pPr>
        <w:shd w:val="clear"/>
        <w:spacing w:after="0" w:line="360" w:lineRule="auto"/>
        <w:ind w:right="-2" w:firstLine="482" w:firstLineChars="200"/>
        <w:rPr>
          <w:rFonts w:hint="eastAsia" w:ascii="宋体" w:hAnsi="Calibri" w:cs="Times New Roman"/>
          <w:b/>
          <w:color w:val="auto"/>
          <w:kern w:val="2"/>
          <w:sz w:val="24"/>
          <w:szCs w:val="24"/>
          <w:highlight w:val="none"/>
          <w:lang w:val="en-US" w:eastAsia="zh-CN"/>
        </w:rPr>
      </w:pPr>
    </w:p>
    <w:p w14:paraId="19A6EEA8">
      <w:pPr>
        <w:shd w:val="clear"/>
        <w:spacing w:after="0" w:line="360" w:lineRule="auto"/>
        <w:ind w:right="-2" w:firstLine="482" w:firstLineChars="200"/>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lang w:val="en-US" w:eastAsia="zh-CN"/>
        </w:rPr>
        <w:t>五、</w:t>
      </w:r>
      <w:r>
        <w:rPr>
          <w:rFonts w:hint="eastAsia" w:ascii="宋体" w:hAnsi="Calibri" w:cs="Times New Roman"/>
          <w:b/>
          <w:color w:val="auto"/>
          <w:kern w:val="2"/>
          <w:sz w:val="24"/>
          <w:szCs w:val="24"/>
          <w:highlight w:val="none"/>
        </w:rPr>
        <w:t>报价要求：</w:t>
      </w:r>
    </w:p>
    <w:p w14:paraId="78ED35E1">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投标人报价应是为实现合同目的所涉及的所有费用，包括但不仅限于服务期内完成所有运维服务并经招标人验收合格等所需人员、机械、设备、耗材、企业管理费、利润、税金、各种保险等全部费用。除此之外，招标人不再向投标人或者第三人支付其他任何费用。</w:t>
      </w:r>
    </w:p>
    <w:p w14:paraId="3240625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2.投标报价表中标明的价格在合同执行过程中是固定不变的，不得以任何理由予以变更。投标人在报价时应充分考虑本次招标的各种风险（包括漏项风险），在合同执行期间中标价不再实行政策性调整和变动。</w:t>
      </w:r>
    </w:p>
    <w:p w14:paraId="0722F7BE">
      <w:pPr>
        <w:shd w:val="clear"/>
        <w:spacing w:after="0" w:line="360" w:lineRule="auto"/>
        <w:ind w:right="-2" w:firstLine="482" w:firstLineChars="200"/>
        <w:rPr>
          <w:rFonts w:hint="eastAsia" w:ascii="宋体" w:hAnsi="Calibri" w:cs="Times New Roman"/>
          <w:b/>
          <w:color w:val="auto"/>
          <w:kern w:val="2"/>
          <w:sz w:val="24"/>
          <w:szCs w:val="24"/>
          <w:highlight w:val="none"/>
        </w:rPr>
      </w:pPr>
    </w:p>
    <w:p w14:paraId="1D7E8CEB">
      <w:pPr>
        <w:shd w:val="clear"/>
        <w:spacing w:after="0" w:line="360" w:lineRule="auto"/>
        <w:ind w:right="-2" w:firstLine="482" w:firstLineChars="200"/>
        <w:rPr>
          <w:rFonts w:hint="eastAsia" w:ascii="宋体" w:hAnsi="宋体"/>
          <w:color w:val="auto"/>
          <w:sz w:val="24"/>
          <w:highlight w:val="none"/>
        </w:rPr>
      </w:pPr>
      <w:r>
        <w:rPr>
          <w:rFonts w:hint="eastAsia" w:ascii="宋体" w:hAnsi="宋体"/>
          <w:b/>
          <w:color w:val="auto"/>
          <w:sz w:val="24"/>
          <w:highlight w:val="none"/>
          <w:lang w:val="en-US" w:eastAsia="zh-CN"/>
        </w:rPr>
        <w:t>六</w:t>
      </w:r>
      <w:r>
        <w:rPr>
          <w:rFonts w:hint="eastAsia" w:ascii="宋体" w:hAnsi="宋体"/>
          <w:b/>
          <w:color w:val="auto"/>
          <w:sz w:val="24"/>
          <w:highlight w:val="none"/>
        </w:rPr>
        <w:t>、验收标准及程序</w:t>
      </w:r>
      <w:r>
        <w:rPr>
          <w:rFonts w:hint="eastAsia" w:ascii="宋体" w:hAnsi="宋体"/>
          <w:color w:val="auto"/>
          <w:sz w:val="24"/>
          <w:highlight w:val="none"/>
        </w:rPr>
        <w:t>：</w:t>
      </w:r>
    </w:p>
    <w:p w14:paraId="68A615AD">
      <w:pPr>
        <w:shd w:val="clear"/>
        <w:tabs>
          <w:tab w:val="left" w:pos="84"/>
        </w:tabs>
        <w:spacing w:after="0" w:line="360" w:lineRule="auto"/>
        <w:ind w:firstLine="480" w:firstLineChars="200"/>
        <w:rPr>
          <w:rFonts w:hint="eastAsia" w:ascii="宋体" w:hAnsi="宋体"/>
          <w:bCs/>
          <w:color w:val="auto"/>
          <w:sz w:val="24"/>
          <w:highlight w:val="none"/>
          <w:u w:val="single"/>
        </w:rPr>
      </w:pPr>
      <w:r>
        <w:rPr>
          <w:rFonts w:hint="eastAsia" w:ascii="宋体" w:hAnsi="宋体"/>
          <w:bCs/>
          <w:color w:val="auto"/>
          <w:sz w:val="24"/>
          <w:highlight w:val="none"/>
        </w:rPr>
        <w:t>验收主体：</w:t>
      </w:r>
      <w:r>
        <w:rPr>
          <w:rFonts w:hint="eastAsia" w:ascii="宋体" w:hAnsi="宋体"/>
          <w:bCs/>
          <w:color w:val="auto"/>
          <w:sz w:val="24"/>
          <w:highlight w:val="none"/>
          <w:u w:val="single"/>
        </w:rPr>
        <w:t>招标（采购）人</w:t>
      </w:r>
    </w:p>
    <w:p w14:paraId="181A6EA5">
      <w:pPr>
        <w:shd w:val="clear"/>
        <w:tabs>
          <w:tab w:val="left" w:pos="84"/>
        </w:tabs>
        <w:spacing w:after="0" w:line="360" w:lineRule="auto"/>
        <w:ind w:firstLine="480" w:firstLineChars="200"/>
        <w:rPr>
          <w:rFonts w:hint="eastAsia" w:ascii="宋体" w:hAnsi="宋体"/>
          <w:bCs/>
          <w:color w:val="auto"/>
          <w:sz w:val="24"/>
          <w:highlight w:val="none"/>
          <w:u w:val="single"/>
        </w:rPr>
      </w:pPr>
      <w:r>
        <w:rPr>
          <w:rFonts w:hint="eastAsia" w:ascii="宋体" w:hAnsi="宋体"/>
          <w:bCs/>
          <w:color w:val="auto"/>
          <w:sz w:val="24"/>
          <w:highlight w:val="none"/>
        </w:rPr>
        <w:t>验收时间：</w:t>
      </w:r>
      <w:r>
        <w:rPr>
          <w:rFonts w:hint="eastAsia" w:ascii="宋体" w:hAnsi="宋体"/>
          <w:bCs/>
          <w:color w:val="auto"/>
          <w:sz w:val="24"/>
          <w:highlight w:val="none"/>
          <w:u w:val="single"/>
        </w:rPr>
        <w:t>项目完成后五个工作日内进行验收</w:t>
      </w:r>
    </w:p>
    <w:p w14:paraId="6A30ACED">
      <w:pPr>
        <w:shd w:val="clear"/>
        <w:tabs>
          <w:tab w:val="left" w:pos="84"/>
        </w:tabs>
        <w:spacing w:after="0" w:line="360" w:lineRule="auto"/>
        <w:ind w:firstLine="480" w:firstLineChars="200"/>
        <w:rPr>
          <w:rFonts w:hint="eastAsia" w:ascii="宋体" w:hAnsi="宋体" w:eastAsia="宋体"/>
          <w:bCs/>
          <w:color w:val="auto"/>
          <w:sz w:val="24"/>
          <w:highlight w:val="none"/>
          <w:u w:val="single"/>
          <w:lang w:eastAsia="zh-CN"/>
        </w:rPr>
      </w:pPr>
      <w:r>
        <w:rPr>
          <w:rFonts w:hint="eastAsia" w:ascii="宋体" w:hAnsi="宋体"/>
          <w:bCs/>
          <w:color w:val="auto"/>
          <w:sz w:val="24"/>
          <w:highlight w:val="none"/>
        </w:rPr>
        <w:t>验收方式：</w:t>
      </w:r>
      <w:r>
        <w:rPr>
          <w:rFonts w:hint="eastAsia" w:ascii="宋体" w:hAnsi="宋体"/>
          <w:bCs/>
          <w:color w:val="auto"/>
          <w:sz w:val="24"/>
          <w:highlight w:val="none"/>
          <w:u w:val="single"/>
        </w:rPr>
        <w:t>由东港公司运维管理部组织日常喷放巡检保养及维修更换考核验收。核验服务内容与实际是否相符，形成书面确认单并经招标人、</w:t>
      </w:r>
      <w:r>
        <w:rPr>
          <w:rFonts w:hint="eastAsia" w:ascii="宋体" w:hAnsi="宋体"/>
          <w:bCs/>
          <w:color w:val="auto"/>
          <w:sz w:val="24"/>
          <w:highlight w:val="none"/>
          <w:u w:val="single"/>
          <w:lang w:eastAsia="zh-CN"/>
        </w:rPr>
        <w:t>中标人</w:t>
      </w:r>
      <w:r>
        <w:rPr>
          <w:rFonts w:hint="eastAsia" w:ascii="宋体" w:hAnsi="宋体"/>
          <w:bCs/>
          <w:color w:val="auto"/>
          <w:sz w:val="24"/>
          <w:highlight w:val="none"/>
          <w:u w:val="single"/>
        </w:rPr>
        <w:t>签字（或盖章）确认。服务内容确认单包括但不限于服务内容、数量及验收结果等主要内容</w:t>
      </w:r>
      <w:r>
        <w:rPr>
          <w:rFonts w:hint="eastAsia" w:ascii="宋体" w:hAnsi="宋体"/>
          <w:bCs/>
          <w:color w:val="auto"/>
          <w:sz w:val="24"/>
          <w:highlight w:val="none"/>
          <w:u w:val="single"/>
          <w:lang w:eastAsia="zh-CN"/>
        </w:rPr>
        <w:t>。</w:t>
      </w:r>
    </w:p>
    <w:p w14:paraId="1E25754E">
      <w:pPr>
        <w:shd w:val="clear"/>
        <w:tabs>
          <w:tab w:val="left" w:pos="84"/>
        </w:tabs>
        <w:spacing w:after="0" w:line="360" w:lineRule="auto"/>
        <w:ind w:firstLine="480" w:firstLineChars="200"/>
        <w:rPr>
          <w:rFonts w:hint="eastAsia" w:ascii="宋体" w:hAnsi="宋体"/>
          <w:bCs/>
          <w:color w:val="auto"/>
          <w:sz w:val="24"/>
          <w:highlight w:val="none"/>
          <w:u w:val="single"/>
        </w:rPr>
      </w:pPr>
      <w:r>
        <w:rPr>
          <w:rFonts w:hint="eastAsia" w:ascii="宋体" w:hAnsi="宋体"/>
          <w:bCs/>
          <w:color w:val="auto"/>
          <w:sz w:val="24"/>
          <w:highlight w:val="none"/>
        </w:rPr>
        <w:t>验收程序：</w:t>
      </w:r>
      <w:r>
        <w:rPr>
          <w:rFonts w:hint="eastAsia" w:ascii="宋体" w:hAnsi="宋体"/>
          <w:bCs/>
          <w:color w:val="auto"/>
          <w:sz w:val="24"/>
          <w:highlight w:val="none"/>
          <w:u w:val="single"/>
        </w:rPr>
        <w:t>（1）供应商提出验收申请；（2）制定验收方案并下达履约验收通知单；（3）成立验收小组；（4）组织验收；（5）验收资料归档。</w:t>
      </w:r>
    </w:p>
    <w:p w14:paraId="7AE8C3ED">
      <w:pPr>
        <w:shd w:val="clear"/>
        <w:spacing w:after="0" w:line="360" w:lineRule="auto"/>
        <w:ind w:right="-2" w:firstLine="480" w:firstLineChars="200"/>
        <w:rPr>
          <w:rFonts w:hint="eastAsia" w:ascii="宋体" w:hAnsi="Calibri" w:cs="Times New Roman"/>
          <w:b/>
          <w:color w:val="auto"/>
          <w:kern w:val="2"/>
          <w:sz w:val="24"/>
          <w:szCs w:val="24"/>
          <w:highlight w:val="none"/>
        </w:rPr>
      </w:pPr>
      <w:r>
        <w:rPr>
          <w:rFonts w:hint="eastAsia" w:ascii="宋体" w:hAnsi="宋体"/>
          <w:bCs/>
          <w:color w:val="auto"/>
          <w:sz w:val="24"/>
          <w:highlight w:val="none"/>
        </w:rPr>
        <w:t>验收标准：</w:t>
      </w:r>
      <w:r>
        <w:rPr>
          <w:rFonts w:hint="eastAsia" w:ascii="宋体" w:hAnsi="宋体"/>
          <w:bCs/>
          <w:color w:val="auto"/>
          <w:sz w:val="24"/>
          <w:highlight w:val="none"/>
          <w:u w:val="single"/>
        </w:rPr>
        <w:t>根据合同约定及</w:t>
      </w:r>
      <w:r>
        <w:rPr>
          <w:rFonts w:hint="eastAsia" w:ascii="宋体" w:hAnsi="宋体"/>
          <w:color w:val="auto"/>
          <w:sz w:val="24"/>
          <w:highlight w:val="none"/>
          <w:u w:val="single"/>
        </w:rPr>
        <w:t>国家有关规范</w:t>
      </w:r>
      <w:r>
        <w:rPr>
          <w:rFonts w:hint="eastAsia" w:ascii="宋体" w:hAnsi="宋体"/>
          <w:bCs/>
          <w:color w:val="auto"/>
          <w:sz w:val="24"/>
          <w:highlight w:val="none"/>
          <w:u w:val="single"/>
        </w:rPr>
        <w:t>标准执行</w:t>
      </w:r>
      <w:r>
        <w:rPr>
          <w:rFonts w:hint="eastAsia" w:ascii="宋体" w:hAnsi="宋体"/>
          <w:color w:val="auto"/>
          <w:sz w:val="24"/>
          <w:highlight w:val="none"/>
          <w:u w:val="single"/>
        </w:rPr>
        <w:t>。</w:t>
      </w:r>
    </w:p>
    <w:p w14:paraId="48CF3830">
      <w:pPr>
        <w:shd w:val="clear"/>
        <w:spacing w:after="0" w:line="360" w:lineRule="auto"/>
        <w:ind w:right="-2" w:firstLine="482" w:firstLineChars="200"/>
        <w:rPr>
          <w:rFonts w:hint="eastAsia"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lang w:val="en-US" w:eastAsia="zh-CN"/>
        </w:rPr>
        <w:t>七、</w:t>
      </w:r>
      <w:r>
        <w:rPr>
          <w:rFonts w:hint="eastAsia" w:ascii="宋体" w:hAnsi="Calibri" w:cs="Times New Roman"/>
          <w:b/>
          <w:color w:val="auto"/>
          <w:kern w:val="2"/>
          <w:sz w:val="24"/>
          <w:szCs w:val="24"/>
          <w:highlight w:val="none"/>
        </w:rPr>
        <w:t>人员要求</w:t>
      </w:r>
    </w:p>
    <w:p w14:paraId="66E24F0D">
      <w:pPr>
        <w:pStyle w:val="2"/>
        <w:widowControl/>
        <w:shd w:val="clear"/>
        <w:autoSpaceDE w:val="0"/>
        <w:adjustRightInd w:val="0"/>
        <w:snapToGrid w:val="0"/>
        <w:ind w:firstLine="480" w:firstLineChars="200"/>
        <w:textAlignment w:val="baseline"/>
        <w:rPr>
          <w:rFonts w:hint="eastAsia" w:ascii="宋体" w:hAnsi="Calibri" w:cs="Times New Roman"/>
          <w:bCs/>
          <w:color w:val="auto"/>
          <w:spacing w:val="0"/>
          <w:kern w:val="2"/>
          <w:sz w:val="24"/>
          <w:szCs w:val="24"/>
          <w:highlight w:val="none"/>
          <w:lang w:eastAsia="zh-CN"/>
        </w:rPr>
      </w:pPr>
      <w:r>
        <w:rPr>
          <w:rFonts w:hint="eastAsia" w:ascii="宋体" w:hAnsi="Calibri" w:cs="Times New Roman"/>
          <w:bCs/>
          <w:color w:val="auto"/>
          <w:spacing w:val="0"/>
          <w:kern w:val="2"/>
          <w:sz w:val="24"/>
          <w:szCs w:val="24"/>
          <w:highlight w:val="none"/>
          <w:lang w:eastAsia="zh-CN"/>
        </w:rPr>
        <w:t>项目经理须具有机电工程专业注册建造师二级及以上资格。</w:t>
      </w:r>
    </w:p>
    <w:p w14:paraId="5C07F542">
      <w:pPr>
        <w:pStyle w:val="2"/>
        <w:shd w:val="clear"/>
        <w:rPr>
          <w:rFonts w:hint="eastAsia"/>
          <w:color w:val="auto"/>
          <w:highlight w:val="none"/>
        </w:rPr>
      </w:pPr>
    </w:p>
    <w:p w14:paraId="6579FFC8">
      <w:pPr>
        <w:shd w:val="clear"/>
        <w:spacing w:after="0" w:line="360" w:lineRule="auto"/>
        <w:ind w:right="-2" w:firstLine="482" w:firstLineChars="200"/>
        <w:rPr>
          <w:rFonts w:hint="eastAsia" w:ascii="宋体" w:hAnsi="Calibri" w:eastAsia="宋体" w:cs="Times New Roman"/>
          <w:b/>
          <w:bCs w:val="0"/>
          <w:color w:val="auto"/>
          <w:kern w:val="2"/>
          <w:sz w:val="24"/>
          <w:szCs w:val="24"/>
          <w:highlight w:val="none"/>
          <w:lang w:eastAsia="zh-CN"/>
        </w:rPr>
      </w:pPr>
      <w:r>
        <w:rPr>
          <w:rFonts w:hint="eastAsia" w:ascii="宋体" w:hAnsi="Calibri" w:eastAsia="宋体" w:cs="Times New Roman"/>
          <w:b/>
          <w:bCs w:val="0"/>
          <w:color w:val="auto"/>
          <w:kern w:val="2"/>
          <w:sz w:val="24"/>
          <w:szCs w:val="24"/>
          <w:highlight w:val="none"/>
          <w:lang w:val="en-US" w:eastAsia="zh-CN"/>
        </w:rPr>
        <w:t>八、</w:t>
      </w:r>
      <w:r>
        <w:rPr>
          <w:rFonts w:hint="eastAsia" w:ascii="宋体" w:hAnsi="Calibri" w:eastAsia="宋体" w:cs="Times New Roman"/>
          <w:b/>
          <w:bCs w:val="0"/>
          <w:color w:val="auto"/>
          <w:kern w:val="2"/>
          <w:sz w:val="24"/>
          <w:szCs w:val="24"/>
          <w:highlight w:val="none"/>
          <w:lang w:eastAsia="zh-CN"/>
        </w:rPr>
        <w:t>结算方式：</w:t>
      </w:r>
    </w:p>
    <w:p w14:paraId="45EC2348">
      <w:pPr>
        <w:shd w:val="clear"/>
        <w:spacing w:after="0" w:line="360" w:lineRule="auto"/>
        <w:ind w:right="-2" w:firstLine="480" w:firstLineChars="200"/>
        <w:rPr>
          <w:rFonts w:hint="default" w:ascii="宋体" w:hAnsi="宋体" w:eastAsia="宋体"/>
          <w:bCs/>
          <w:color w:val="auto"/>
          <w:sz w:val="24"/>
          <w:szCs w:val="24"/>
          <w:highlight w:val="none"/>
          <w:lang w:val="en-US" w:eastAsia="zh-CN"/>
        </w:rPr>
      </w:pPr>
      <w:r>
        <w:rPr>
          <w:rFonts w:hint="eastAsia" w:ascii="宋体" w:hAnsi="宋体" w:eastAsia="宋体"/>
          <w:bCs/>
          <w:color w:val="auto"/>
          <w:sz w:val="24"/>
          <w:szCs w:val="24"/>
          <w:highlight w:val="none"/>
          <w:lang w:val="en-US" w:eastAsia="zh-CN"/>
        </w:rPr>
        <w:t>★</w:t>
      </w:r>
      <w:r>
        <w:rPr>
          <w:rFonts w:hint="eastAsia" w:ascii="宋体" w:hAnsi="宋体" w:eastAsia="宋体"/>
          <w:bCs/>
          <w:color w:val="auto"/>
          <w:sz w:val="24"/>
          <w:szCs w:val="24"/>
          <w:highlight w:val="none"/>
          <w:lang w:eastAsia="zh-CN"/>
        </w:rPr>
        <w:t>日常喷放运行</w:t>
      </w:r>
      <w:r>
        <w:rPr>
          <w:rFonts w:hint="eastAsia" w:ascii="宋体" w:hAnsi="宋体"/>
          <w:bCs/>
          <w:color w:val="auto"/>
          <w:sz w:val="24"/>
          <w:szCs w:val="24"/>
          <w:highlight w:val="none"/>
          <w:lang w:eastAsia="zh-CN"/>
        </w:rPr>
        <w:t>、</w:t>
      </w:r>
      <w:r>
        <w:rPr>
          <w:rFonts w:hint="eastAsia" w:ascii="宋体" w:hAnsi="宋体" w:eastAsia="宋体"/>
          <w:bCs/>
          <w:color w:val="auto"/>
          <w:sz w:val="24"/>
          <w:szCs w:val="24"/>
          <w:highlight w:val="none"/>
          <w:lang w:eastAsia="zh-CN"/>
        </w:rPr>
        <w:t>喷泉设备巡检保养采用</w:t>
      </w:r>
      <w:r>
        <w:rPr>
          <w:rFonts w:hint="eastAsia" w:ascii="宋体" w:hAnsi="宋体"/>
          <w:bCs/>
          <w:color w:val="auto"/>
          <w:sz w:val="24"/>
          <w:szCs w:val="24"/>
          <w:highlight w:val="none"/>
          <w:lang w:val="en-US" w:eastAsia="zh-CN"/>
        </w:rPr>
        <w:t>固定</w:t>
      </w:r>
      <w:r>
        <w:rPr>
          <w:rFonts w:hint="eastAsia" w:ascii="宋体" w:hAnsi="宋体" w:eastAsia="宋体"/>
          <w:bCs/>
          <w:color w:val="auto"/>
          <w:sz w:val="24"/>
          <w:szCs w:val="24"/>
          <w:highlight w:val="none"/>
          <w:lang w:eastAsia="zh-CN"/>
        </w:rPr>
        <w:t>总价合同，</w:t>
      </w:r>
      <w:r>
        <w:rPr>
          <w:rFonts w:hint="eastAsia" w:ascii="宋体" w:hAnsi="宋体" w:eastAsia="宋体"/>
          <w:bCs/>
          <w:color w:val="auto"/>
          <w:sz w:val="24"/>
          <w:szCs w:val="24"/>
          <w:highlight w:val="none"/>
          <w:lang w:val="en-US" w:eastAsia="zh-CN"/>
        </w:rPr>
        <w:t>中标单位完成合同全部内容，结算值=此部分中标价</w:t>
      </w:r>
      <w:r>
        <w:rPr>
          <w:rFonts w:hint="eastAsia" w:ascii="宋体" w:hAnsi="宋体" w:eastAsia="宋体"/>
          <w:bCs/>
          <w:color w:val="auto"/>
          <w:sz w:val="24"/>
          <w:szCs w:val="24"/>
          <w:highlight w:val="none"/>
          <w:lang w:eastAsia="zh-CN"/>
        </w:rPr>
        <w:t>。设备设施维修更换部分采用</w:t>
      </w:r>
      <w:r>
        <w:rPr>
          <w:rFonts w:hint="eastAsia" w:ascii="宋体" w:hAnsi="宋体"/>
          <w:bCs/>
          <w:color w:val="auto"/>
          <w:sz w:val="24"/>
          <w:szCs w:val="24"/>
          <w:highlight w:val="none"/>
          <w:lang w:val="en-US" w:eastAsia="zh-CN"/>
        </w:rPr>
        <w:t>固定</w:t>
      </w:r>
      <w:r>
        <w:rPr>
          <w:rFonts w:hint="eastAsia" w:ascii="宋体" w:hAnsi="宋体" w:eastAsia="宋体"/>
          <w:bCs/>
          <w:color w:val="auto"/>
          <w:sz w:val="24"/>
          <w:szCs w:val="24"/>
          <w:highlight w:val="none"/>
          <w:lang w:eastAsia="zh-CN"/>
        </w:rPr>
        <w:t>单价合同，结算值=实际维修更换工程量x中标综合单价。</w:t>
      </w:r>
      <w:r>
        <w:rPr>
          <w:rFonts w:hint="eastAsia" w:ascii="宋体" w:hAnsi="宋体" w:eastAsia="宋体"/>
          <w:bCs/>
          <w:color w:val="auto"/>
          <w:sz w:val="24"/>
          <w:szCs w:val="24"/>
          <w:highlight w:val="none"/>
          <w:lang w:val="en-US" w:eastAsia="zh-CN"/>
        </w:rPr>
        <w:t>结算值以</w:t>
      </w:r>
      <w:r>
        <w:rPr>
          <w:rFonts w:hint="eastAsia" w:cs="Times New Roman"/>
          <w:color w:val="auto"/>
          <w:kern w:val="2"/>
          <w:sz w:val="24"/>
          <w:szCs w:val="24"/>
          <w:highlight w:val="none"/>
          <w:lang w:val="en-US" w:eastAsia="zh-CN" w:bidi="ar-SA"/>
        </w:rPr>
        <w:t>甲方审核确认的</w:t>
      </w:r>
      <w:r>
        <w:rPr>
          <w:rFonts w:hint="eastAsia" w:ascii="宋体" w:hAnsi="宋体" w:eastAsia="宋体"/>
          <w:bCs/>
          <w:color w:val="auto"/>
          <w:sz w:val="24"/>
          <w:szCs w:val="24"/>
          <w:highlight w:val="none"/>
          <w:lang w:val="en-US" w:eastAsia="zh-CN"/>
        </w:rPr>
        <w:t>第三方造价机构审核为准。</w:t>
      </w:r>
    </w:p>
    <w:p w14:paraId="46B88BBA">
      <w:pPr>
        <w:pStyle w:val="2"/>
        <w:shd w:val="clear"/>
        <w:rPr>
          <w:color w:val="auto"/>
          <w:highlight w:val="none"/>
        </w:rPr>
      </w:pPr>
    </w:p>
    <w:p w14:paraId="41152AAA">
      <w:pPr>
        <w:shd w:val="clear"/>
        <w:spacing w:after="0" w:line="360" w:lineRule="auto"/>
        <w:ind w:right="-2" w:firstLine="482" w:firstLineChars="200"/>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lang w:val="en-US" w:eastAsia="zh-CN"/>
        </w:rPr>
        <w:t>九</w:t>
      </w:r>
      <w:r>
        <w:rPr>
          <w:rFonts w:hint="eastAsia" w:ascii="宋体" w:hAnsi="Calibri" w:cs="Times New Roman"/>
          <w:b/>
          <w:color w:val="auto"/>
          <w:kern w:val="2"/>
          <w:sz w:val="24"/>
          <w:szCs w:val="24"/>
          <w:highlight w:val="none"/>
        </w:rPr>
        <w:t>、</w:t>
      </w:r>
      <w:r>
        <w:rPr>
          <w:rFonts w:hint="eastAsia" w:ascii="宋体" w:hAnsi="Calibri" w:cs="Times New Roman"/>
          <w:b/>
          <w:color w:val="auto"/>
          <w:kern w:val="2"/>
          <w:sz w:val="24"/>
          <w:szCs w:val="24"/>
          <w:highlight w:val="none"/>
          <w:lang w:val="en-US" w:eastAsia="zh-CN"/>
        </w:rPr>
        <w:t>商务</w:t>
      </w:r>
      <w:r>
        <w:rPr>
          <w:rFonts w:hint="eastAsia" w:ascii="宋体" w:hAnsi="Calibri" w:cs="Times New Roman"/>
          <w:b/>
          <w:color w:val="auto"/>
          <w:kern w:val="2"/>
          <w:sz w:val="24"/>
          <w:szCs w:val="24"/>
          <w:highlight w:val="none"/>
        </w:rPr>
        <w:t>要求</w:t>
      </w:r>
    </w:p>
    <w:p w14:paraId="6F5B3784">
      <w:pPr>
        <w:shd w:val="clear"/>
        <w:spacing w:after="0" w:line="360" w:lineRule="auto"/>
        <w:ind w:right="-2" w:firstLine="482" w:firstLineChars="200"/>
        <w:rPr>
          <w:rFonts w:hint="eastAsia" w:ascii="宋体" w:hAnsi="宋体"/>
          <w:color w:val="auto"/>
          <w:sz w:val="24"/>
          <w:highlight w:val="none"/>
        </w:rPr>
      </w:pPr>
      <w:r>
        <w:rPr>
          <w:rFonts w:hint="eastAsia" w:ascii="宋体" w:hAnsi="Calibri" w:cs="Times New Roman"/>
          <w:b/>
          <w:color w:val="auto"/>
          <w:kern w:val="2"/>
          <w:sz w:val="24"/>
          <w:szCs w:val="24"/>
          <w:highlight w:val="none"/>
        </w:rPr>
        <w:t>★</w:t>
      </w:r>
      <w:r>
        <w:rPr>
          <w:rFonts w:hint="eastAsia" w:ascii="宋体" w:hAnsi="Calibri" w:cs="Times New Roman"/>
          <w:b/>
          <w:color w:val="auto"/>
          <w:kern w:val="2"/>
          <w:sz w:val="24"/>
          <w:szCs w:val="24"/>
          <w:highlight w:val="none"/>
          <w:lang w:val="en-US" w:eastAsia="zh-CN"/>
        </w:rPr>
        <w:t>1.</w:t>
      </w:r>
      <w:r>
        <w:rPr>
          <w:rFonts w:hint="eastAsia" w:ascii="宋体" w:hAnsi="宋体"/>
          <w:color w:val="auto"/>
          <w:sz w:val="24"/>
          <w:highlight w:val="none"/>
        </w:rPr>
        <w:t>服务期限：自合同签订之日起一年。</w:t>
      </w:r>
    </w:p>
    <w:p w14:paraId="3FED62BD">
      <w:pPr>
        <w:shd w:val="clear"/>
        <w:spacing w:after="0" w:line="360" w:lineRule="auto"/>
        <w:ind w:right="-2" w:firstLine="480" w:firstLineChars="200"/>
        <w:rPr>
          <w:rFonts w:hint="eastAsia" w:ascii="宋体" w:hAnsi="宋体"/>
          <w:color w:val="auto"/>
          <w:sz w:val="24"/>
          <w:highlight w:val="none"/>
        </w:rPr>
      </w:pPr>
      <w:r>
        <w:rPr>
          <w:rFonts w:hint="eastAsia" w:ascii="宋体" w:hAnsi="宋体"/>
          <w:bCs/>
          <w:color w:val="auto"/>
          <w:sz w:val="24"/>
          <w:szCs w:val="24"/>
          <w:highlight w:val="none"/>
          <w:lang w:eastAsia="zh-CN"/>
        </w:rPr>
        <w:t>注：在招标人落实下一年度预算的前提下，国家、省、市现行政策法规不变的条件下，且本项目服务要求不变、价格不变，经招标人与中标人双方协商同意，可依据本次招标结果所签订的合同续签合同，合同应当一年一签，最多可续签两年。</w:t>
      </w:r>
    </w:p>
    <w:p w14:paraId="5BA641C8">
      <w:pPr>
        <w:shd w:val="clear"/>
        <w:spacing w:after="0" w:line="360" w:lineRule="auto"/>
        <w:ind w:right="-2" w:firstLine="480" w:firstLineChars="200"/>
        <w:rPr>
          <w:rFonts w:hint="eastAsia" w:ascii="宋体" w:hAnsi="宋体"/>
          <w:color w:val="auto"/>
          <w:sz w:val="24"/>
          <w:highlight w:val="none"/>
        </w:rPr>
      </w:pPr>
      <w:r>
        <w:rPr>
          <w:rFonts w:hint="eastAsia" w:ascii="宋体" w:hAnsi="宋体" w:cs="宋体"/>
          <w:color w:val="auto"/>
          <w:sz w:val="24"/>
          <w:highlight w:val="none"/>
        </w:rPr>
        <w:t>★</w:t>
      </w:r>
      <w:r>
        <w:rPr>
          <w:rFonts w:hint="eastAsia" w:ascii="宋体" w:hAnsi="宋体"/>
          <w:color w:val="auto"/>
          <w:sz w:val="24"/>
          <w:highlight w:val="none"/>
        </w:rPr>
        <w:t>2.</w:t>
      </w:r>
      <w:r>
        <w:rPr>
          <w:rFonts w:hint="eastAsia" w:ascii="宋体" w:hAnsi="宋体"/>
          <w:color w:val="auto"/>
          <w:sz w:val="24"/>
          <w:highlight w:val="none"/>
          <w:lang w:eastAsia="zh-CN"/>
        </w:rPr>
        <w:t>服务地点</w:t>
      </w:r>
      <w:r>
        <w:rPr>
          <w:rFonts w:hint="eastAsia" w:ascii="宋体" w:hAnsi="宋体"/>
          <w:color w:val="auto"/>
          <w:sz w:val="24"/>
          <w:highlight w:val="none"/>
        </w:rPr>
        <w:t>：东港商务区音乐喷泉</w:t>
      </w:r>
      <w:r>
        <w:rPr>
          <w:rFonts w:hint="eastAsia" w:ascii="宋体" w:hAnsi="宋体"/>
          <w:color w:val="auto"/>
          <w:sz w:val="24"/>
          <w:highlight w:val="none"/>
          <w:lang w:eastAsia="zh-CN"/>
        </w:rPr>
        <w:t>，</w:t>
      </w:r>
      <w:r>
        <w:rPr>
          <w:rFonts w:hint="eastAsia" w:ascii="宋体" w:hAnsi="宋体" w:cs="Times New Roman"/>
          <w:color w:val="auto"/>
          <w:kern w:val="2"/>
          <w:sz w:val="24"/>
          <w:szCs w:val="24"/>
          <w:highlight w:val="none"/>
          <w:lang w:val="en-US" w:eastAsia="zh-CN" w:bidi="ar-SA"/>
        </w:rPr>
        <w:t>具体以招标人指定为准</w:t>
      </w:r>
      <w:r>
        <w:rPr>
          <w:rFonts w:hint="eastAsia" w:ascii="宋体" w:hAnsi="宋体"/>
          <w:color w:val="auto"/>
          <w:sz w:val="24"/>
          <w:highlight w:val="none"/>
        </w:rPr>
        <w:t>。</w:t>
      </w:r>
    </w:p>
    <w:p w14:paraId="4AC1B17C">
      <w:pPr>
        <w:shd w:val="clear"/>
        <w:spacing w:after="0" w:line="360" w:lineRule="auto"/>
        <w:ind w:right="-2" w:firstLine="480" w:firstLineChars="200"/>
        <w:rPr>
          <w:rFonts w:hint="default" w:ascii="宋体" w:hAnsi="宋体" w:eastAsia="宋体"/>
          <w:color w:val="auto"/>
          <w:sz w:val="24"/>
          <w:highlight w:val="none"/>
          <w:lang w:val="en-US" w:eastAsia="zh-CN"/>
        </w:rPr>
      </w:pPr>
      <w:r>
        <w:rPr>
          <w:rFonts w:hint="eastAsia" w:ascii="宋体" w:hAnsi="宋体" w:cs="宋体"/>
          <w:color w:val="auto"/>
          <w:sz w:val="24"/>
          <w:highlight w:val="none"/>
        </w:rPr>
        <w:t>★</w:t>
      </w:r>
      <w:r>
        <w:rPr>
          <w:rFonts w:hint="eastAsia"/>
          <w:color w:val="auto"/>
          <w:sz w:val="24"/>
          <w:highlight w:val="none"/>
          <w:lang w:val="en-US" w:eastAsia="zh-CN"/>
        </w:rPr>
        <w:t>3.质保期：</w:t>
      </w:r>
      <w:r>
        <w:rPr>
          <w:rFonts w:hint="eastAsia" w:hAnsi="Calibri" w:cs="Times New Roman"/>
          <w:bCs/>
          <w:color w:val="auto"/>
          <w:kern w:val="2"/>
          <w:sz w:val="24"/>
          <w:szCs w:val="24"/>
          <w:highlight w:val="none"/>
          <w:lang w:val="en-US" w:eastAsia="zh-CN"/>
        </w:rPr>
        <w:t>更换配件部分，自更换后正式投运起一年。</w:t>
      </w:r>
    </w:p>
    <w:p w14:paraId="5D349BCC">
      <w:pPr>
        <w:shd w:val="clear"/>
        <w:spacing w:after="0" w:line="360" w:lineRule="auto"/>
        <w:ind w:right="-2" w:firstLine="480" w:firstLineChars="200"/>
        <w:rPr>
          <w:rFonts w:hint="eastAsia" w:ascii="宋体" w:hAnsi="宋体" w:eastAsia="宋体"/>
          <w:color w:val="auto"/>
          <w:sz w:val="24"/>
          <w:highlight w:val="none"/>
        </w:rPr>
      </w:pPr>
      <w:r>
        <w:rPr>
          <w:rFonts w:hint="eastAsia" w:ascii="宋体" w:hAnsi="宋体"/>
          <w:color w:val="auto"/>
          <w:sz w:val="24"/>
          <w:highlight w:val="none"/>
          <w:lang w:val="en-US" w:eastAsia="zh-CN"/>
        </w:rPr>
        <w:t>4</w:t>
      </w:r>
      <w:r>
        <w:rPr>
          <w:rFonts w:hint="eastAsia" w:ascii="宋体" w:hAnsi="宋体" w:eastAsia="宋体"/>
          <w:color w:val="auto"/>
          <w:sz w:val="24"/>
          <w:highlight w:val="none"/>
          <w:lang w:val="en-US" w:eastAsia="zh-CN"/>
        </w:rPr>
        <w:t>.</w:t>
      </w:r>
      <w:r>
        <w:rPr>
          <w:rFonts w:hint="eastAsia" w:ascii="宋体" w:hAnsi="宋体" w:eastAsia="宋体"/>
          <w:color w:val="auto"/>
          <w:sz w:val="24"/>
          <w:highlight w:val="none"/>
        </w:rPr>
        <w:t>付款方式：</w:t>
      </w:r>
    </w:p>
    <w:p w14:paraId="7A59C959">
      <w:pPr>
        <w:shd w:val="clear"/>
        <w:tabs>
          <w:tab w:val="left" w:pos="84"/>
        </w:tabs>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（1）</w:t>
      </w:r>
      <w:r>
        <w:rPr>
          <w:rFonts w:hint="eastAsia" w:ascii="宋体" w:hAnsi="宋体"/>
          <w:color w:val="auto"/>
          <w:sz w:val="24"/>
          <w:highlight w:val="none"/>
        </w:rPr>
        <w:t>运行巡检部分：合同签署且中标人提交履约保证金并开始服务后，完成第一个三个月维护工作，</w:t>
      </w:r>
      <w:r>
        <w:rPr>
          <w:rFonts w:hint="eastAsia" w:ascii="宋体" w:hAnsi="宋体"/>
          <w:color w:val="auto"/>
          <w:sz w:val="24"/>
          <w:highlight w:val="none"/>
          <w:lang w:val="en-US" w:eastAsia="zh-CN"/>
        </w:rPr>
        <w:t>经招标人验收合格后，</w:t>
      </w:r>
      <w:r>
        <w:rPr>
          <w:rFonts w:hint="eastAsia" w:ascii="宋体" w:hAnsi="宋体"/>
          <w:color w:val="auto"/>
          <w:sz w:val="24"/>
          <w:highlight w:val="none"/>
        </w:rPr>
        <w:t>支付运行巡检部分固定总价的30%；完成第二个三个月维护工作，</w:t>
      </w:r>
      <w:r>
        <w:rPr>
          <w:rFonts w:hint="eastAsia" w:ascii="宋体" w:hAnsi="宋体"/>
          <w:color w:val="auto"/>
          <w:sz w:val="24"/>
          <w:highlight w:val="none"/>
          <w:lang w:val="en-US" w:eastAsia="zh-CN"/>
        </w:rPr>
        <w:t>经招标人验收合格后，</w:t>
      </w:r>
      <w:r>
        <w:rPr>
          <w:rFonts w:hint="eastAsia" w:ascii="宋体" w:hAnsi="宋体"/>
          <w:color w:val="auto"/>
          <w:sz w:val="24"/>
          <w:highlight w:val="none"/>
        </w:rPr>
        <w:t>支付运行巡检部分固定总价的20%；完成第三个三个月维护工作，</w:t>
      </w:r>
      <w:r>
        <w:rPr>
          <w:rFonts w:hint="eastAsia" w:ascii="宋体" w:hAnsi="宋体"/>
          <w:color w:val="auto"/>
          <w:sz w:val="24"/>
          <w:highlight w:val="none"/>
          <w:lang w:val="en-US" w:eastAsia="zh-CN"/>
        </w:rPr>
        <w:t>经招标人验收合格后，</w:t>
      </w:r>
      <w:r>
        <w:rPr>
          <w:rFonts w:hint="eastAsia" w:ascii="宋体" w:hAnsi="宋体"/>
          <w:color w:val="auto"/>
          <w:sz w:val="24"/>
          <w:highlight w:val="none"/>
        </w:rPr>
        <w:t>支付运行巡检部分固定总价的20%。余款待服务期满后，</w:t>
      </w:r>
      <w:r>
        <w:rPr>
          <w:rFonts w:hint="eastAsia" w:ascii="宋体" w:hAnsi="宋体"/>
          <w:color w:val="auto"/>
          <w:sz w:val="24"/>
          <w:highlight w:val="none"/>
          <w:lang w:val="en-US" w:eastAsia="zh-CN"/>
        </w:rPr>
        <w:t>经招标验收合格后，</w:t>
      </w:r>
      <w:r>
        <w:rPr>
          <w:rFonts w:hint="eastAsia" w:ascii="宋体" w:hAnsi="宋体"/>
          <w:color w:val="auto"/>
          <w:sz w:val="24"/>
          <w:highlight w:val="none"/>
        </w:rPr>
        <w:t>扣除喷泉表演期内产生的考核扣款（每0.1分扣500元）后，一次性付清运行巡检部分固定总价余款部分。考核细则详见附件3。</w:t>
      </w:r>
    </w:p>
    <w:p w14:paraId="243F2B4E">
      <w:pPr>
        <w:shd w:val="clear"/>
        <w:tabs>
          <w:tab w:val="left" w:pos="84"/>
        </w:tabs>
        <w:spacing w:after="0" w:line="360" w:lineRule="auto"/>
        <w:ind w:right="-2" w:firstLine="480" w:firstLineChars="200"/>
        <w:rPr>
          <w:rFonts w:hint="eastAsia" w:ascii="宋体" w:hAnsi="宋体"/>
          <w:color w:val="auto"/>
          <w:sz w:val="24"/>
          <w:highlight w:val="none"/>
          <w:lang w:eastAsia="zh-CN"/>
        </w:rPr>
      </w:pPr>
      <w:r>
        <w:rPr>
          <w:rFonts w:hint="eastAsia" w:ascii="宋体" w:hAnsi="宋体"/>
          <w:color w:val="auto"/>
          <w:sz w:val="24"/>
          <w:highlight w:val="none"/>
          <w:lang w:val="en-US" w:eastAsia="zh-CN"/>
        </w:rPr>
        <w:t>（2）</w:t>
      </w:r>
      <w:r>
        <w:rPr>
          <w:rFonts w:hint="eastAsia" w:ascii="宋体" w:hAnsi="宋体"/>
          <w:color w:val="auto"/>
          <w:sz w:val="24"/>
          <w:highlight w:val="none"/>
          <w:lang w:eastAsia="zh-CN"/>
        </w:rPr>
        <w:t>设备的维修更换部分：</w:t>
      </w:r>
      <w:r>
        <w:rPr>
          <w:rFonts w:hint="eastAsia" w:ascii="宋体" w:hAnsi="宋体"/>
          <w:color w:val="auto"/>
          <w:sz w:val="24"/>
          <w:highlight w:val="none"/>
          <w:lang w:val="en-US" w:eastAsia="zh-CN"/>
        </w:rPr>
        <w:t>设备维修更换前，中标人应向招标人书面提交维修更换清单，经招标人同意并双方签字盖章后，方可实施。</w:t>
      </w:r>
      <w:r>
        <w:rPr>
          <w:rFonts w:hint="eastAsia" w:ascii="宋体" w:hAnsi="宋体"/>
          <w:color w:val="auto"/>
          <w:sz w:val="24"/>
          <w:highlight w:val="none"/>
          <w:lang w:eastAsia="zh-CN"/>
        </w:rPr>
        <w:t>年度合同结束后，</w:t>
      </w:r>
      <w:r>
        <w:rPr>
          <w:rFonts w:hint="eastAsia" w:ascii="宋体" w:hAnsi="宋体"/>
          <w:color w:val="auto"/>
          <w:sz w:val="24"/>
          <w:highlight w:val="none"/>
          <w:lang w:val="en-US" w:eastAsia="zh-CN"/>
        </w:rPr>
        <w:t>招标人按已确认的清单实际数量，依据中标单价一次</w:t>
      </w:r>
      <w:r>
        <w:rPr>
          <w:rFonts w:hint="eastAsia" w:ascii="宋体" w:hAnsi="宋体"/>
          <w:color w:val="auto"/>
          <w:sz w:val="24"/>
          <w:highlight w:val="none"/>
          <w:lang w:eastAsia="zh-CN"/>
        </w:rPr>
        <w:t>性据实支付专用费用。结算值以</w:t>
      </w:r>
      <w:r>
        <w:rPr>
          <w:rFonts w:hint="eastAsia" w:ascii="宋体" w:hAnsi="宋体"/>
          <w:color w:val="auto"/>
          <w:sz w:val="24"/>
          <w:highlight w:val="none"/>
          <w:lang w:val="en-US" w:eastAsia="zh-CN"/>
        </w:rPr>
        <w:t>招标人</w:t>
      </w:r>
      <w:r>
        <w:rPr>
          <w:rFonts w:hint="eastAsia" w:ascii="宋体" w:hAnsi="宋体"/>
          <w:color w:val="auto"/>
          <w:sz w:val="24"/>
          <w:highlight w:val="none"/>
          <w:lang w:eastAsia="zh-CN"/>
        </w:rPr>
        <w:t>审核确认的第三方造价机构审核为准。</w:t>
      </w:r>
    </w:p>
    <w:p w14:paraId="037CEB08">
      <w:pPr>
        <w:shd w:val="clear"/>
        <w:spacing w:after="0" w:line="360" w:lineRule="auto"/>
        <w:ind w:right="-2" w:firstLine="480" w:firstLineChars="200"/>
        <w:rPr>
          <w:rFonts w:hint="default" w:ascii="宋体" w:hAnsi="宋体" w:eastAsia="宋体"/>
          <w:b/>
          <w:bCs/>
          <w:color w:val="auto"/>
          <w:sz w:val="28"/>
          <w:szCs w:val="24"/>
          <w:highlight w:val="none"/>
          <w:lang w:val="en-US" w:eastAsia="zh-CN"/>
        </w:rPr>
      </w:pPr>
      <w:r>
        <w:rPr>
          <w:rFonts w:hint="eastAsia" w:ascii="宋体" w:hAnsi="宋体"/>
          <w:color w:val="auto"/>
          <w:sz w:val="24"/>
          <w:highlight w:val="none"/>
          <w:lang w:eastAsia="zh-CN"/>
        </w:rPr>
        <w:t>注：招标人每次付款前，中标人应向招标人提交与付款金额一致的增值税专用发票，否则</w:t>
      </w:r>
      <w:r>
        <w:rPr>
          <w:rFonts w:hint="eastAsia" w:ascii="宋体" w:hAnsi="宋体"/>
          <w:color w:val="auto"/>
          <w:sz w:val="24"/>
          <w:highlight w:val="none"/>
          <w:lang w:val="en-US" w:eastAsia="zh-CN"/>
        </w:rPr>
        <w:t>招标人</w:t>
      </w:r>
      <w:r>
        <w:rPr>
          <w:rFonts w:hint="eastAsia" w:ascii="宋体" w:hAnsi="宋体"/>
          <w:color w:val="auto"/>
          <w:sz w:val="24"/>
          <w:highlight w:val="none"/>
          <w:lang w:eastAsia="zh-CN"/>
        </w:rPr>
        <w:t>有权拒绝付款且不不承担任何责任，</w:t>
      </w:r>
      <w:r>
        <w:rPr>
          <w:rFonts w:hint="eastAsia" w:ascii="宋体" w:hAnsi="宋体"/>
          <w:color w:val="auto"/>
          <w:sz w:val="24"/>
          <w:highlight w:val="none"/>
          <w:lang w:val="en-US" w:eastAsia="zh-CN"/>
        </w:rPr>
        <w:t>中标人</w:t>
      </w:r>
      <w:r>
        <w:rPr>
          <w:rFonts w:hint="eastAsia" w:ascii="宋体" w:hAnsi="宋体"/>
          <w:color w:val="auto"/>
          <w:sz w:val="24"/>
          <w:highlight w:val="none"/>
          <w:lang w:eastAsia="zh-CN"/>
        </w:rPr>
        <w:t>不得因此拒绝履行合同项下任何义务。</w:t>
      </w:r>
    </w:p>
    <w:p w14:paraId="57268AB7">
      <w:pPr>
        <w:shd w:val="clear"/>
        <w:spacing w:after="0" w:line="360" w:lineRule="auto"/>
        <w:ind w:right="-2" w:firstLine="562" w:firstLineChars="200"/>
        <w:rPr>
          <w:rFonts w:hint="eastAsia" w:ascii="宋体" w:hAnsi="宋体"/>
          <w:b/>
          <w:bCs/>
          <w:color w:val="auto"/>
          <w:sz w:val="28"/>
          <w:szCs w:val="24"/>
          <w:highlight w:val="none"/>
        </w:rPr>
      </w:pPr>
    </w:p>
    <w:p w14:paraId="222CE080">
      <w:pPr>
        <w:shd w:val="clear"/>
        <w:spacing w:after="0" w:line="360" w:lineRule="auto"/>
        <w:ind w:right="-2" w:firstLine="562" w:firstLineChars="200"/>
        <w:rPr>
          <w:rFonts w:hint="eastAsia" w:ascii="宋体" w:hAnsi="宋体"/>
          <w:b/>
          <w:bCs/>
          <w:color w:val="auto"/>
          <w:sz w:val="28"/>
          <w:szCs w:val="24"/>
          <w:highlight w:val="none"/>
        </w:rPr>
      </w:pPr>
      <w:r>
        <w:rPr>
          <w:rFonts w:hint="eastAsia" w:ascii="宋体" w:hAnsi="宋体"/>
          <w:b/>
          <w:bCs/>
          <w:color w:val="auto"/>
          <w:sz w:val="28"/>
          <w:szCs w:val="24"/>
          <w:highlight w:val="none"/>
        </w:rPr>
        <w:t>注：未响应“★”号条款的投标文件为无效。招标文件的技术和商务条款中未标记“★”号的为非实质性要求，未响应非实质性要求的投标文件仍为有效，但可能影响评分。</w:t>
      </w:r>
    </w:p>
    <w:p w14:paraId="6D2A44A1">
      <w:pPr>
        <w:shd w:val="clear"/>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br w:type="page"/>
      </w:r>
    </w:p>
    <w:p w14:paraId="516AB76C">
      <w:pPr>
        <w:shd w:val="clear"/>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附件3：</w:t>
      </w:r>
    </w:p>
    <w:p w14:paraId="6C19D467">
      <w:pPr>
        <w:shd w:val="clear"/>
        <w:ind w:firstLine="1120" w:firstLineChars="400"/>
        <w:jc w:val="left"/>
        <w:rPr>
          <w:color w:val="auto"/>
          <w:highlight w:val="none"/>
        </w:rPr>
      </w:pPr>
      <w:r>
        <w:rPr>
          <w:rFonts w:hint="eastAsia" w:ascii="宋体" w:hAnsi="宋体" w:eastAsia="宋体" w:cs="宋体"/>
          <w:color w:val="auto"/>
          <w:sz w:val="28"/>
          <w:szCs w:val="28"/>
          <w:highlight w:val="none"/>
        </w:rPr>
        <w:t>大连东港商务区2025年灯光音乐喷泉运行维护考核细则</w:t>
      </w:r>
    </w:p>
    <w:tbl>
      <w:tblPr>
        <w:tblStyle w:val="17"/>
        <w:tblpPr w:leftFromText="180" w:rightFromText="180" w:vertAnchor="text" w:horzAnchor="page" w:tblpX="1740" w:tblpY="288"/>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252"/>
        <w:gridCol w:w="4519"/>
        <w:gridCol w:w="873"/>
        <w:gridCol w:w="1377"/>
      </w:tblGrid>
      <w:tr w14:paraId="1E8F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94" w:type="pct"/>
            <w:noWrap w:val="0"/>
            <w:vAlign w:val="center"/>
          </w:tcPr>
          <w:p w14:paraId="1C5B07DE">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序号</w:t>
            </w:r>
          </w:p>
        </w:tc>
        <w:tc>
          <w:tcPr>
            <w:tcW w:w="703" w:type="pct"/>
            <w:noWrap w:val="0"/>
            <w:vAlign w:val="center"/>
          </w:tcPr>
          <w:p w14:paraId="64D7FFBA">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内容</w:t>
            </w:r>
          </w:p>
        </w:tc>
        <w:tc>
          <w:tcPr>
            <w:tcW w:w="2537" w:type="pct"/>
            <w:noWrap w:val="0"/>
            <w:vAlign w:val="center"/>
          </w:tcPr>
          <w:p w14:paraId="3CA85B13">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扣分依据</w:t>
            </w:r>
          </w:p>
        </w:tc>
        <w:tc>
          <w:tcPr>
            <w:tcW w:w="490" w:type="pct"/>
            <w:noWrap w:val="0"/>
            <w:vAlign w:val="center"/>
          </w:tcPr>
          <w:p w14:paraId="7F99B22F">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分值</w:t>
            </w:r>
          </w:p>
        </w:tc>
        <w:tc>
          <w:tcPr>
            <w:tcW w:w="773" w:type="pct"/>
            <w:noWrap w:val="0"/>
            <w:vAlign w:val="center"/>
          </w:tcPr>
          <w:p w14:paraId="4D812F9E">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考核方式</w:t>
            </w:r>
          </w:p>
        </w:tc>
      </w:tr>
      <w:tr w14:paraId="79D7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494" w:type="pct"/>
            <w:vMerge w:val="restart"/>
            <w:noWrap w:val="0"/>
            <w:vAlign w:val="center"/>
          </w:tcPr>
          <w:p w14:paraId="2FE5EE90">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一</w:t>
            </w:r>
          </w:p>
        </w:tc>
        <w:tc>
          <w:tcPr>
            <w:tcW w:w="703" w:type="pct"/>
            <w:vMerge w:val="restart"/>
            <w:noWrap w:val="0"/>
            <w:vAlign w:val="center"/>
          </w:tcPr>
          <w:p w14:paraId="1FD81E61">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喷放</w:t>
            </w:r>
          </w:p>
        </w:tc>
        <w:tc>
          <w:tcPr>
            <w:tcW w:w="2537" w:type="pct"/>
            <w:noWrap w:val="0"/>
            <w:vAlign w:val="center"/>
          </w:tcPr>
          <w:p w14:paraId="3E7A7517">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1、每场喷放表演时间是否按</w:t>
            </w:r>
            <w:r>
              <w:rPr>
                <w:rFonts w:hint="eastAsia" w:ascii="宋体" w:hAnsi="宋体" w:cs="宋体"/>
                <w:b w:val="0"/>
                <w:bCs w:val="0"/>
                <w:color w:val="auto"/>
                <w:sz w:val="24"/>
                <w:szCs w:val="24"/>
                <w:highlight w:val="none"/>
                <w:lang w:val="en-US" w:eastAsia="zh-CN"/>
              </w:rPr>
              <w:t>招标人</w:t>
            </w:r>
            <w:r>
              <w:rPr>
                <w:rFonts w:hint="eastAsia" w:ascii="宋体" w:hAnsi="宋体" w:eastAsia="宋体" w:cs="宋体"/>
                <w:b w:val="0"/>
                <w:bCs w:val="0"/>
                <w:color w:val="auto"/>
                <w:sz w:val="24"/>
                <w:szCs w:val="24"/>
                <w:highlight w:val="none"/>
              </w:rPr>
              <w:t>要求及时准点喷放；</w:t>
            </w:r>
          </w:p>
        </w:tc>
        <w:tc>
          <w:tcPr>
            <w:tcW w:w="490" w:type="pct"/>
            <w:noWrap w:val="0"/>
            <w:vAlign w:val="center"/>
          </w:tcPr>
          <w:p w14:paraId="45BB1323">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49436F48">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6B8D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5E48733C">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32C1DA26">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0A8EB021">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2、每场喷放表演音响是否按</w:t>
            </w:r>
            <w:r>
              <w:rPr>
                <w:rFonts w:hint="eastAsia" w:ascii="宋体" w:hAnsi="宋体" w:cs="宋体"/>
                <w:b w:val="0"/>
                <w:bCs w:val="0"/>
                <w:color w:val="auto"/>
                <w:sz w:val="24"/>
                <w:szCs w:val="24"/>
                <w:highlight w:val="none"/>
                <w:lang w:val="en-US" w:eastAsia="zh-CN"/>
              </w:rPr>
              <w:t>招标人</w:t>
            </w:r>
            <w:r>
              <w:rPr>
                <w:rFonts w:hint="eastAsia" w:ascii="宋体" w:hAnsi="宋体" w:eastAsia="宋体" w:cs="宋体"/>
                <w:b w:val="0"/>
                <w:bCs w:val="0"/>
                <w:color w:val="auto"/>
                <w:sz w:val="24"/>
                <w:szCs w:val="24"/>
                <w:highlight w:val="none"/>
              </w:rPr>
              <w:t>要求及时准点播放；</w:t>
            </w:r>
          </w:p>
        </w:tc>
        <w:tc>
          <w:tcPr>
            <w:tcW w:w="490" w:type="pct"/>
            <w:noWrap w:val="0"/>
            <w:vAlign w:val="center"/>
          </w:tcPr>
          <w:p w14:paraId="1DB0DC21">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1ACC5C3B">
            <w:pPr>
              <w:shd w:val="clear"/>
              <w:jc w:val="center"/>
              <w:rPr>
                <w:rFonts w:hint="eastAsia" w:ascii="宋体" w:hAnsi="宋体" w:eastAsia="宋体" w:cs="宋体"/>
                <w:b w:val="0"/>
                <w:bCs w:val="0"/>
                <w:color w:val="auto"/>
                <w:sz w:val="24"/>
                <w:szCs w:val="24"/>
                <w:highlight w:val="none"/>
              </w:rPr>
            </w:pPr>
          </w:p>
        </w:tc>
      </w:tr>
      <w:tr w14:paraId="6DDF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64D06267">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03F20F88">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6EB36AF0">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3、每场喷放效果是否良好；</w:t>
            </w:r>
          </w:p>
        </w:tc>
        <w:tc>
          <w:tcPr>
            <w:tcW w:w="490" w:type="pct"/>
            <w:noWrap w:val="0"/>
            <w:vAlign w:val="center"/>
          </w:tcPr>
          <w:p w14:paraId="79005B58">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785832A1">
            <w:pPr>
              <w:shd w:val="clear"/>
              <w:jc w:val="center"/>
              <w:rPr>
                <w:rFonts w:hint="eastAsia" w:ascii="宋体" w:hAnsi="宋体" w:eastAsia="宋体" w:cs="宋体"/>
                <w:b w:val="0"/>
                <w:bCs w:val="0"/>
                <w:color w:val="auto"/>
                <w:sz w:val="24"/>
                <w:szCs w:val="24"/>
                <w:highlight w:val="none"/>
              </w:rPr>
            </w:pPr>
          </w:p>
        </w:tc>
      </w:tr>
      <w:tr w14:paraId="3B29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2E24A36C">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6F149501">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4194D45C">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4、运行维护方案中其它喷放要求；</w:t>
            </w:r>
          </w:p>
        </w:tc>
        <w:tc>
          <w:tcPr>
            <w:tcW w:w="490" w:type="pct"/>
            <w:noWrap w:val="0"/>
            <w:vAlign w:val="center"/>
          </w:tcPr>
          <w:p w14:paraId="64E390B8">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73BE7DE1">
            <w:pPr>
              <w:shd w:val="clear"/>
              <w:jc w:val="center"/>
              <w:rPr>
                <w:rFonts w:hint="eastAsia" w:ascii="宋体" w:hAnsi="宋体" w:eastAsia="宋体" w:cs="宋体"/>
                <w:b w:val="0"/>
                <w:bCs w:val="0"/>
                <w:color w:val="auto"/>
                <w:sz w:val="24"/>
                <w:szCs w:val="24"/>
                <w:highlight w:val="none"/>
              </w:rPr>
            </w:pPr>
          </w:p>
        </w:tc>
      </w:tr>
      <w:tr w14:paraId="4E9E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494" w:type="pct"/>
            <w:vMerge w:val="restart"/>
            <w:noWrap w:val="0"/>
            <w:vAlign w:val="center"/>
          </w:tcPr>
          <w:p w14:paraId="5440145F">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二</w:t>
            </w:r>
          </w:p>
        </w:tc>
        <w:tc>
          <w:tcPr>
            <w:tcW w:w="703" w:type="pct"/>
            <w:vMerge w:val="restart"/>
            <w:noWrap w:val="0"/>
            <w:vAlign w:val="center"/>
          </w:tcPr>
          <w:p w14:paraId="7F572507">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日常养护</w:t>
            </w:r>
          </w:p>
        </w:tc>
        <w:tc>
          <w:tcPr>
            <w:tcW w:w="2537" w:type="pct"/>
            <w:noWrap w:val="0"/>
            <w:vAlign w:val="center"/>
          </w:tcPr>
          <w:p w14:paraId="62AA036F">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1、每日喷泉运行前是否按运行维护方案检查喷泉池、喷泉设备及音响等各类设备；</w:t>
            </w:r>
          </w:p>
        </w:tc>
        <w:tc>
          <w:tcPr>
            <w:tcW w:w="490" w:type="pct"/>
            <w:noWrap w:val="0"/>
            <w:vAlign w:val="center"/>
          </w:tcPr>
          <w:p w14:paraId="73E9B54B">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721533F4">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7D15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exact"/>
        </w:trPr>
        <w:tc>
          <w:tcPr>
            <w:tcW w:w="494" w:type="pct"/>
            <w:vMerge w:val="continue"/>
            <w:noWrap w:val="0"/>
            <w:vAlign w:val="center"/>
          </w:tcPr>
          <w:p w14:paraId="41F4E1C1">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0D21A497">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1060BECB">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2、每日喷泉运行中是否按运行维护方案要求使用各种设备、人员是否在岗并按规操作；</w:t>
            </w:r>
          </w:p>
        </w:tc>
        <w:tc>
          <w:tcPr>
            <w:tcW w:w="490" w:type="pct"/>
            <w:noWrap w:val="0"/>
            <w:vAlign w:val="center"/>
          </w:tcPr>
          <w:p w14:paraId="704E4B81">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3484F307">
            <w:pPr>
              <w:shd w:val="clear"/>
              <w:jc w:val="center"/>
              <w:rPr>
                <w:rFonts w:hint="eastAsia" w:ascii="宋体" w:hAnsi="宋体" w:eastAsia="宋体" w:cs="宋体"/>
                <w:b w:val="0"/>
                <w:bCs w:val="0"/>
                <w:color w:val="auto"/>
                <w:sz w:val="24"/>
                <w:szCs w:val="24"/>
                <w:highlight w:val="none"/>
              </w:rPr>
            </w:pPr>
          </w:p>
        </w:tc>
      </w:tr>
      <w:tr w14:paraId="073B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trPr>
        <w:tc>
          <w:tcPr>
            <w:tcW w:w="494" w:type="pct"/>
            <w:vMerge w:val="continue"/>
            <w:noWrap w:val="0"/>
            <w:vAlign w:val="center"/>
          </w:tcPr>
          <w:p w14:paraId="42344C0F">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22C9FE82">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30AD23FE">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3、喷泉运行后是否按运行维护方案和</w:t>
            </w:r>
            <w:r>
              <w:rPr>
                <w:rFonts w:hint="eastAsia" w:ascii="宋体" w:hAnsi="宋体" w:cs="宋体"/>
                <w:b w:val="0"/>
                <w:bCs w:val="0"/>
                <w:color w:val="auto"/>
                <w:sz w:val="24"/>
                <w:szCs w:val="24"/>
                <w:highlight w:val="none"/>
                <w:lang w:val="en-US" w:eastAsia="zh-CN"/>
              </w:rPr>
              <w:t>招标人</w:t>
            </w:r>
            <w:r>
              <w:rPr>
                <w:rFonts w:hint="eastAsia" w:ascii="宋体" w:hAnsi="宋体" w:eastAsia="宋体" w:cs="宋体"/>
                <w:b w:val="0"/>
                <w:bCs w:val="0"/>
                <w:color w:val="auto"/>
                <w:sz w:val="24"/>
                <w:szCs w:val="24"/>
                <w:highlight w:val="none"/>
              </w:rPr>
              <w:t>要求检查并及时养护各类设备；</w:t>
            </w:r>
          </w:p>
        </w:tc>
        <w:tc>
          <w:tcPr>
            <w:tcW w:w="490" w:type="pct"/>
            <w:noWrap w:val="0"/>
            <w:vAlign w:val="center"/>
          </w:tcPr>
          <w:p w14:paraId="24F522B4">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7B208D9D">
            <w:pPr>
              <w:shd w:val="clear"/>
              <w:jc w:val="center"/>
              <w:rPr>
                <w:rFonts w:hint="eastAsia" w:ascii="宋体" w:hAnsi="宋体" w:eastAsia="宋体" w:cs="宋体"/>
                <w:b w:val="0"/>
                <w:bCs w:val="0"/>
                <w:color w:val="auto"/>
                <w:sz w:val="24"/>
                <w:szCs w:val="24"/>
                <w:highlight w:val="none"/>
              </w:rPr>
            </w:pPr>
          </w:p>
        </w:tc>
      </w:tr>
      <w:tr w14:paraId="1002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trPr>
        <w:tc>
          <w:tcPr>
            <w:tcW w:w="494" w:type="pct"/>
            <w:vMerge w:val="continue"/>
            <w:noWrap w:val="0"/>
            <w:vAlign w:val="center"/>
          </w:tcPr>
          <w:p w14:paraId="49D1E030">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79396501">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7E206741">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4、运行维护方案中其它维护要求。</w:t>
            </w:r>
          </w:p>
        </w:tc>
        <w:tc>
          <w:tcPr>
            <w:tcW w:w="490" w:type="pct"/>
            <w:noWrap w:val="0"/>
            <w:vAlign w:val="center"/>
          </w:tcPr>
          <w:p w14:paraId="731605F6">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6D777C7C">
            <w:pPr>
              <w:shd w:val="clear"/>
              <w:jc w:val="center"/>
              <w:rPr>
                <w:rFonts w:hint="eastAsia" w:ascii="宋体" w:hAnsi="宋体" w:eastAsia="宋体" w:cs="宋体"/>
                <w:b w:val="0"/>
                <w:bCs w:val="0"/>
                <w:color w:val="auto"/>
                <w:sz w:val="24"/>
                <w:szCs w:val="24"/>
                <w:highlight w:val="none"/>
              </w:rPr>
            </w:pPr>
          </w:p>
        </w:tc>
      </w:tr>
      <w:tr w14:paraId="3D50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94" w:type="pct"/>
            <w:vMerge w:val="restart"/>
            <w:noWrap w:val="0"/>
            <w:vAlign w:val="center"/>
          </w:tcPr>
          <w:p w14:paraId="4B2C5DEC">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三</w:t>
            </w:r>
          </w:p>
        </w:tc>
        <w:tc>
          <w:tcPr>
            <w:tcW w:w="703" w:type="pct"/>
            <w:vMerge w:val="restart"/>
            <w:noWrap w:val="0"/>
            <w:vAlign w:val="center"/>
          </w:tcPr>
          <w:p w14:paraId="02185A40">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设备检查</w:t>
            </w:r>
          </w:p>
        </w:tc>
        <w:tc>
          <w:tcPr>
            <w:tcW w:w="2537" w:type="pct"/>
            <w:noWrap w:val="0"/>
            <w:vAlign w:val="center"/>
          </w:tcPr>
          <w:p w14:paraId="6D845457">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1、喷泉设备出现故障（空压机、变频器、水泵、驱动器、彩灯、音响等），及时检查处理，保证喷泉的正常运行。</w:t>
            </w:r>
          </w:p>
        </w:tc>
        <w:tc>
          <w:tcPr>
            <w:tcW w:w="490" w:type="pct"/>
            <w:noWrap w:val="0"/>
            <w:vAlign w:val="center"/>
          </w:tcPr>
          <w:p w14:paraId="517072CB">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6E403B02">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6C92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494" w:type="pct"/>
            <w:vMerge w:val="continue"/>
            <w:noWrap w:val="0"/>
            <w:vAlign w:val="center"/>
          </w:tcPr>
          <w:p w14:paraId="0F3E14FA">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5C3FC170">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2C657C66">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2、保证喷泉表演的整齐度，在每场表演前对数控喷头校准调直。</w:t>
            </w:r>
          </w:p>
        </w:tc>
        <w:tc>
          <w:tcPr>
            <w:tcW w:w="490" w:type="pct"/>
            <w:noWrap w:val="0"/>
            <w:vAlign w:val="center"/>
          </w:tcPr>
          <w:p w14:paraId="2D996E7F">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17A399D2">
            <w:pPr>
              <w:shd w:val="clear"/>
              <w:jc w:val="center"/>
              <w:rPr>
                <w:rFonts w:hint="eastAsia" w:ascii="宋体" w:hAnsi="宋体" w:eastAsia="宋体" w:cs="宋体"/>
                <w:b w:val="0"/>
                <w:bCs w:val="0"/>
                <w:color w:val="auto"/>
                <w:sz w:val="24"/>
                <w:szCs w:val="24"/>
                <w:highlight w:val="none"/>
              </w:rPr>
            </w:pPr>
          </w:p>
        </w:tc>
      </w:tr>
      <w:tr w14:paraId="7BE5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044F9172">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571BBB02">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3F919BB2">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3、运行维护方案中其它检查要求。</w:t>
            </w:r>
          </w:p>
        </w:tc>
        <w:tc>
          <w:tcPr>
            <w:tcW w:w="490" w:type="pct"/>
            <w:noWrap w:val="0"/>
            <w:vAlign w:val="center"/>
          </w:tcPr>
          <w:p w14:paraId="0B750939">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35C4DBC6">
            <w:pPr>
              <w:shd w:val="clear"/>
              <w:jc w:val="center"/>
              <w:rPr>
                <w:rFonts w:hint="eastAsia" w:ascii="宋体" w:hAnsi="宋体" w:eastAsia="宋体" w:cs="宋体"/>
                <w:b w:val="0"/>
                <w:bCs w:val="0"/>
                <w:color w:val="auto"/>
                <w:sz w:val="24"/>
                <w:szCs w:val="24"/>
                <w:highlight w:val="none"/>
              </w:rPr>
            </w:pPr>
          </w:p>
        </w:tc>
      </w:tr>
      <w:tr w14:paraId="1689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494" w:type="pct"/>
            <w:noWrap w:val="0"/>
            <w:vAlign w:val="center"/>
          </w:tcPr>
          <w:p w14:paraId="66FA335C">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四</w:t>
            </w:r>
          </w:p>
        </w:tc>
        <w:tc>
          <w:tcPr>
            <w:tcW w:w="703" w:type="pct"/>
            <w:noWrap w:val="0"/>
            <w:vAlign w:val="center"/>
          </w:tcPr>
          <w:p w14:paraId="0160EAEA">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人员配置</w:t>
            </w:r>
          </w:p>
        </w:tc>
        <w:tc>
          <w:tcPr>
            <w:tcW w:w="2537" w:type="pct"/>
            <w:noWrap w:val="0"/>
            <w:vAlign w:val="center"/>
          </w:tcPr>
          <w:p w14:paraId="5CADD424">
            <w:pPr>
              <w:keepNext w:val="0"/>
              <w:keepLines w:val="0"/>
              <w:pageBreakBefore w:val="0"/>
              <w:widowControl/>
              <w:numPr>
                <w:ilvl w:val="0"/>
                <w:numId w:val="3"/>
              </w:numPr>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现场日常喷放表演维护人员2人，要随时互相取得联系，如有意外事故发生应立即切断总电源。以上人员均需持电工证上岗。</w:t>
            </w:r>
          </w:p>
          <w:p w14:paraId="111E2684">
            <w:pPr>
              <w:keepNext w:val="0"/>
              <w:keepLines w:val="0"/>
              <w:pageBreakBefore w:val="0"/>
              <w:widowControl/>
              <w:numPr>
                <w:ilvl w:val="0"/>
                <w:numId w:val="3"/>
              </w:numPr>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每少1人次扣0.1分。</w:t>
            </w:r>
          </w:p>
        </w:tc>
        <w:tc>
          <w:tcPr>
            <w:tcW w:w="490" w:type="pct"/>
            <w:noWrap w:val="0"/>
            <w:vAlign w:val="center"/>
          </w:tcPr>
          <w:p w14:paraId="0BBC46B0">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noWrap w:val="0"/>
            <w:vAlign w:val="center"/>
          </w:tcPr>
          <w:p w14:paraId="10CA7A52">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bl>
    <w:p w14:paraId="656C026B">
      <w:pPr>
        <w:shd w:val="clear"/>
        <w:ind w:left="560"/>
        <w:outlineLvl w:val="0"/>
        <w:rPr>
          <w:rFonts w:hint="eastAsia" w:ascii="宋体" w:hAnsi="宋体"/>
          <w:color w:val="auto"/>
          <w:highlight w:val="none"/>
        </w:rPr>
      </w:pPr>
    </w:p>
    <w:p w14:paraId="551E5CBD">
      <w:pPr>
        <w:shd w:val="clear"/>
        <w:ind w:left="560"/>
        <w:outlineLvl w:val="0"/>
        <w:rPr>
          <w:rFonts w:hint="eastAsia" w:ascii="宋体" w:hAnsi="宋体"/>
          <w:color w:val="auto"/>
          <w:highlight w:val="none"/>
        </w:rPr>
      </w:pPr>
    </w:p>
    <w:p w14:paraId="28088B7D">
      <w:pPr>
        <w:shd w:val="clear"/>
        <w:ind w:left="560"/>
        <w:outlineLvl w:val="0"/>
        <w:rPr>
          <w:rFonts w:hint="eastAsia" w:ascii="宋体" w:hAnsi="宋体"/>
          <w:color w:val="auto"/>
          <w:highlight w:val="none"/>
        </w:rPr>
      </w:pPr>
    </w:p>
    <w:p w14:paraId="79536715">
      <w:pPr>
        <w:shd w:val="clear"/>
        <w:spacing w:after="0" w:line="360" w:lineRule="auto"/>
        <w:ind w:right="-2" w:firstLine="2380"/>
        <w:rPr>
          <w:rFonts w:hint="eastAsia" w:ascii="宋体" w:hAnsi="宋体"/>
          <w:b/>
          <w:bCs/>
          <w:color w:val="auto"/>
          <w:sz w:val="44"/>
          <w:szCs w:val="44"/>
          <w:highlight w:val="none"/>
        </w:rPr>
      </w:pPr>
    </w:p>
    <w:p w14:paraId="674684E4">
      <w:pPr>
        <w:shd w:val="clear"/>
        <w:spacing w:after="0" w:line="360" w:lineRule="auto"/>
        <w:ind w:right="-2"/>
        <w:rPr>
          <w:rFonts w:hint="eastAsia" w:ascii="宋体" w:hAnsi="宋体"/>
          <w:b/>
          <w:bCs/>
          <w:color w:val="auto"/>
          <w:sz w:val="44"/>
          <w:szCs w:val="44"/>
          <w:highlight w:val="none"/>
        </w:rPr>
      </w:pPr>
    </w:p>
    <w:p w14:paraId="25391B46">
      <w:pPr>
        <w:shd w:val="clear"/>
        <w:spacing w:after="0" w:line="360" w:lineRule="auto"/>
        <w:ind w:right="-2" w:firstLine="2380"/>
        <w:rPr>
          <w:rFonts w:hint="eastAsia" w:ascii="宋体" w:hAnsi="宋体"/>
          <w:b/>
          <w:bCs/>
          <w:color w:val="auto"/>
          <w:sz w:val="44"/>
          <w:szCs w:val="44"/>
          <w:highlight w:val="none"/>
        </w:rPr>
      </w:pPr>
    </w:p>
    <w:p w14:paraId="425367F4">
      <w:pPr>
        <w:shd w:val="clear"/>
        <w:spacing w:after="0" w:line="360" w:lineRule="auto"/>
        <w:ind w:right="-2" w:firstLine="2380"/>
        <w:rPr>
          <w:rFonts w:hint="eastAsia" w:ascii="宋体" w:hAnsi="宋体"/>
          <w:b/>
          <w:bCs/>
          <w:color w:val="auto"/>
          <w:sz w:val="44"/>
          <w:szCs w:val="44"/>
          <w:highlight w:val="none"/>
        </w:rPr>
      </w:pPr>
    </w:p>
    <w:p w14:paraId="10AD77A6">
      <w:pPr>
        <w:shd w:val="clear"/>
        <w:spacing w:after="0" w:line="360" w:lineRule="auto"/>
        <w:ind w:right="-2" w:firstLine="0"/>
        <w:rPr>
          <w:rFonts w:hint="eastAsia" w:ascii="宋体" w:hAnsi="宋体"/>
          <w:b/>
          <w:bCs/>
          <w:color w:val="auto"/>
          <w:sz w:val="44"/>
          <w:szCs w:val="44"/>
          <w:highlight w:val="none"/>
        </w:rPr>
      </w:pPr>
    </w:p>
    <w:p w14:paraId="5FA04308">
      <w:pPr>
        <w:pStyle w:val="2"/>
        <w:shd w:val="clear"/>
        <w:rPr>
          <w:rFonts w:hint="eastAsia" w:ascii="宋体" w:hAnsi="宋体"/>
          <w:b/>
          <w:bCs/>
          <w:color w:val="auto"/>
          <w:sz w:val="44"/>
          <w:szCs w:val="44"/>
          <w:highlight w:val="none"/>
        </w:rPr>
      </w:pPr>
    </w:p>
    <w:p w14:paraId="33A8FACE">
      <w:pPr>
        <w:shd w:val="clear"/>
        <w:rPr>
          <w:rFonts w:hint="eastAsia" w:ascii="宋体" w:hAnsi="宋体"/>
          <w:b/>
          <w:bCs/>
          <w:color w:val="auto"/>
          <w:sz w:val="44"/>
          <w:szCs w:val="44"/>
          <w:highlight w:val="none"/>
        </w:rPr>
      </w:pPr>
    </w:p>
    <w:p w14:paraId="3A2AA8AA">
      <w:pPr>
        <w:pStyle w:val="2"/>
        <w:shd w:val="clear"/>
        <w:rPr>
          <w:rFonts w:hint="eastAsia"/>
          <w:highlight w:val="none"/>
        </w:rPr>
      </w:pPr>
    </w:p>
    <w:p w14:paraId="5CF32216">
      <w:pPr>
        <w:shd w:val="clear"/>
        <w:spacing w:after="0" w:line="360" w:lineRule="auto"/>
        <w:ind w:right="-2"/>
        <w:jc w:val="center"/>
        <w:rPr>
          <w:rFonts w:hint="eastAsia" w:ascii="宋体" w:hAnsi="宋体"/>
          <w:b/>
          <w:color w:val="auto"/>
          <w:sz w:val="44"/>
          <w:highlight w:val="none"/>
        </w:rPr>
      </w:pPr>
      <w:r>
        <w:rPr>
          <w:rFonts w:hint="eastAsia" w:ascii="宋体" w:hAnsi="宋体"/>
          <w:b/>
          <w:bCs/>
          <w:color w:val="auto"/>
          <w:sz w:val="44"/>
          <w:szCs w:val="44"/>
          <w:highlight w:val="none"/>
        </w:rPr>
        <w:t xml:space="preserve">第四章 </w:t>
      </w:r>
      <w:r>
        <w:rPr>
          <w:rFonts w:hint="eastAsia" w:ascii="宋体" w:hAnsi="宋体"/>
          <w:b/>
          <w:color w:val="auto"/>
          <w:sz w:val="44"/>
          <w:highlight w:val="none"/>
        </w:rPr>
        <w:t>投标文件格式</w:t>
      </w:r>
    </w:p>
    <w:p w14:paraId="7BC53ABF">
      <w:pPr>
        <w:shd w:val="clear"/>
        <w:jc w:val="center"/>
        <w:rPr>
          <w:rFonts w:hint="eastAsia" w:ascii="宋体" w:hAnsi="宋体"/>
          <w:b/>
          <w:bCs/>
          <w:color w:val="auto"/>
          <w:sz w:val="36"/>
          <w:szCs w:val="36"/>
          <w:highlight w:val="none"/>
        </w:rPr>
      </w:pPr>
      <w:r>
        <w:rPr>
          <w:rFonts w:ascii="宋体" w:hAnsi="宋体"/>
          <w:b/>
          <w:color w:val="auto"/>
          <w:sz w:val="44"/>
          <w:highlight w:val="none"/>
        </w:rPr>
        <w:br w:type="page"/>
      </w:r>
      <w:r>
        <w:rPr>
          <w:rFonts w:hint="eastAsia" w:ascii="宋体" w:hAnsi="宋体"/>
          <w:color w:val="auto"/>
          <w:sz w:val="36"/>
          <w:szCs w:val="36"/>
          <w:highlight w:val="none"/>
        </w:rPr>
        <w:t>一、</w:t>
      </w:r>
      <w:r>
        <w:rPr>
          <w:rFonts w:hint="eastAsia" w:ascii="宋体" w:hAnsi="宋体"/>
          <w:b/>
          <w:bCs/>
          <w:color w:val="auto"/>
          <w:sz w:val="36"/>
          <w:szCs w:val="36"/>
          <w:highlight w:val="none"/>
        </w:rPr>
        <w:t>投标函</w:t>
      </w:r>
    </w:p>
    <w:p w14:paraId="720EDDF1">
      <w:pPr>
        <w:shd w:val="clear"/>
        <w:spacing w:after="0" w:line="276" w:lineRule="auto"/>
        <w:rPr>
          <w:rFonts w:hint="eastAsia" w:ascii="宋体" w:hAnsi="宋体"/>
          <w:color w:val="auto"/>
          <w:sz w:val="24"/>
          <w:szCs w:val="24"/>
          <w:highlight w:val="none"/>
        </w:rPr>
      </w:pPr>
      <w:r>
        <w:rPr>
          <w:rFonts w:hint="eastAsia" w:ascii="宋体" w:hAnsi="宋体"/>
          <w:color w:val="auto"/>
          <w:sz w:val="24"/>
          <w:szCs w:val="24"/>
          <w:highlight w:val="none"/>
        </w:rPr>
        <w:t>致：</w:t>
      </w:r>
      <w:r>
        <w:rPr>
          <w:rFonts w:hint="eastAsia" w:ascii="宋体" w:hAnsi="宋体"/>
          <w:color w:val="auto"/>
          <w:sz w:val="24"/>
          <w:szCs w:val="24"/>
          <w:highlight w:val="none"/>
          <w:u w:val="single"/>
        </w:rPr>
        <w:t>（采购人、采购代理机构）</w:t>
      </w:r>
    </w:p>
    <w:p w14:paraId="3CB0E258">
      <w:pPr>
        <w:keepNext w:val="0"/>
        <w:keepLines w:val="0"/>
        <w:pageBreakBefore w:val="0"/>
        <w:shd w:val="clear"/>
        <w:kinsoku/>
        <w:wordWrap/>
        <w:overflowPunct/>
        <w:topLinePunct w:val="0"/>
        <w:autoSpaceDE/>
        <w:autoSpaceDN/>
        <w:bidi w:val="0"/>
        <w:spacing w:after="0" w:line="276" w:lineRule="auto"/>
        <w:ind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rPr>
        <w:t>根据贵方（项目名称）（项目编号） ，投标人代表（姓名、职务）经正式授权并代表投标人（投标人名称、地址）提交投标文件。</w:t>
      </w:r>
    </w:p>
    <w:p w14:paraId="1339FE62">
      <w:pPr>
        <w:keepNext w:val="0"/>
        <w:keepLines w:val="0"/>
        <w:pageBreakBefore w:val="0"/>
        <w:shd w:val="clear"/>
        <w:kinsoku/>
        <w:wordWrap/>
        <w:overflowPunct/>
        <w:topLinePunct w:val="0"/>
        <w:autoSpaceDE/>
        <w:autoSpaceDN/>
        <w:bidi w:val="0"/>
        <w:spacing w:after="0" w:line="276" w:lineRule="auto"/>
        <w:ind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rPr>
        <w:t>完</w:t>
      </w:r>
      <w:r>
        <w:rPr>
          <w:rFonts w:ascii="宋体" w:hAnsi="宋体"/>
          <w:color w:val="auto"/>
          <w:sz w:val="24"/>
          <w:szCs w:val="24"/>
          <w:highlight w:val="none"/>
        </w:rPr>
        <w:t>全理解招标文件的内容，决定投</w:t>
      </w:r>
      <w:r>
        <w:rPr>
          <w:rFonts w:hint="eastAsia" w:ascii="宋体" w:hAnsi="宋体"/>
          <w:color w:val="auto"/>
          <w:sz w:val="24"/>
          <w:szCs w:val="24"/>
          <w:highlight w:val="none"/>
        </w:rPr>
        <w:t>标</w:t>
      </w:r>
      <w:r>
        <w:rPr>
          <w:rFonts w:ascii="宋体" w:hAnsi="宋体"/>
          <w:color w:val="auto"/>
          <w:sz w:val="24"/>
          <w:szCs w:val="24"/>
          <w:highlight w:val="none"/>
        </w:rPr>
        <w:t>本项目，据此</w:t>
      </w:r>
      <w:r>
        <w:rPr>
          <w:rFonts w:hint="eastAsia" w:ascii="宋体" w:hAnsi="宋体"/>
          <w:color w:val="auto"/>
          <w:sz w:val="24"/>
          <w:szCs w:val="24"/>
          <w:highlight w:val="none"/>
        </w:rPr>
        <w:t>我</w:t>
      </w:r>
      <w:r>
        <w:rPr>
          <w:rFonts w:ascii="宋体" w:hAnsi="宋体"/>
          <w:color w:val="auto"/>
          <w:sz w:val="24"/>
          <w:szCs w:val="24"/>
          <w:highlight w:val="none"/>
        </w:rPr>
        <w:t>方</w:t>
      </w:r>
      <w:r>
        <w:rPr>
          <w:rFonts w:hint="eastAsia" w:ascii="宋体" w:hAnsi="宋体"/>
          <w:color w:val="auto"/>
          <w:sz w:val="24"/>
          <w:szCs w:val="24"/>
          <w:highlight w:val="none"/>
        </w:rPr>
        <w:t>承诺如</w:t>
      </w:r>
      <w:r>
        <w:rPr>
          <w:rFonts w:ascii="宋体" w:hAnsi="宋体"/>
          <w:color w:val="auto"/>
          <w:sz w:val="24"/>
          <w:szCs w:val="24"/>
          <w:highlight w:val="none"/>
        </w:rPr>
        <w:t>下：</w:t>
      </w:r>
    </w:p>
    <w:p w14:paraId="69A76631">
      <w:pPr>
        <w:keepNext w:val="0"/>
        <w:keepLines w:val="0"/>
        <w:pageBreakBefore w:val="0"/>
        <w:shd w:val="clear"/>
        <w:kinsoku/>
        <w:wordWrap/>
        <w:overflowPunct/>
        <w:topLinePunct w:val="0"/>
        <w:autoSpaceDE/>
        <w:autoSpaceDN/>
        <w:bidi w:val="0"/>
        <w:spacing w:after="0" w:line="276"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1.我方承诺</w:t>
      </w:r>
      <w:r>
        <w:rPr>
          <w:rFonts w:ascii="宋体" w:hAnsi="宋体"/>
          <w:color w:val="auto"/>
          <w:sz w:val="24"/>
          <w:highlight w:val="none"/>
        </w:rPr>
        <w:t>，我方</w:t>
      </w:r>
      <w:r>
        <w:rPr>
          <w:rFonts w:hint="eastAsia" w:ascii="宋体" w:hAnsi="宋体"/>
          <w:color w:val="auto"/>
          <w:sz w:val="24"/>
          <w:highlight w:val="none"/>
        </w:rPr>
        <w:t>完</w:t>
      </w:r>
      <w:r>
        <w:rPr>
          <w:rFonts w:ascii="宋体" w:hAnsi="宋体"/>
          <w:color w:val="auto"/>
          <w:sz w:val="24"/>
          <w:highlight w:val="none"/>
        </w:rPr>
        <w:t>全具备《政府采购法》第</w:t>
      </w:r>
      <w:r>
        <w:rPr>
          <w:rFonts w:hint="eastAsia" w:ascii="宋体" w:hAnsi="宋体"/>
          <w:color w:val="auto"/>
          <w:sz w:val="24"/>
          <w:highlight w:val="none"/>
        </w:rPr>
        <w:t>二</w:t>
      </w:r>
      <w:r>
        <w:rPr>
          <w:rFonts w:ascii="宋体" w:hAnsi="宋体"/>
          <w:color w:val="auto"/>
          <w:sz w:val="24"/>
          <w:highlight w:val="none"/>
        </w:rPr>
        <w:t>十二条</w:t>
      </w:r>
      <w:r>
        <w:rPr>
          <w:rFonts w:hint="eastAsia" w:ascii="宋体" w:hAnsi="宋体"/>
          <w:color w:val="auto"/>
          <w:sz w:val="24"/>
          <w:highlight w:val="none"/>
        </w:rPr>
        <w:t>第</w:t>
      </w:r>
      <w:r>
        <w:rPr>
          <w:rFonts w:ascii="宋体" w:hAnsi="宋体"/>
          <w:color w:val="auto"/>
          <w:sz w:val="24"/>
          <w:highlight w:val="none"/>
        </w:rPr>
        <w:t>一款规定的条件以及本项目招标文件规定的投标人</w:t>
      </w:r>
      <w:r>
        <w:rPr>
          <w:rFonts w:hint="eastAsia" w:ascii="宋体" w:hAnsi="宋体"/>
          <w:color w:val="auto"/>
          <w:sz w:val="24"/>
          <w:highlight w:val="none"/>
        </w:rPr>
        <w:t>须</w:t>
      </w:r>
      <w:r>
        <w:rPr>
          <w:rFonts w:ascii="宋体" w:hAnsi="宋体"/>
          <w:color w:val="auto"/>
          <w:sz w:val="24"/>
          <w:highlight w:val="none"/>
        </w:rPr>
        <w:t>满足的特定条件。</w:t>
      </w:r>
    </w:p>
    <w:p w14:paraId="3D74540F">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eastAsia" w:ascii="宋体" w:hAnsi="宋体"/>
          <w:color w:val="auto"/>
          <w:sz w:val="24"/>
          <w:szCs w:val="24"/>
          <w:highlight w:val="none"/>
        </w:rPr>
      </w:pPr>
      <w:r>
        <w:rPr>
          <w:rFonts w:hint="eastAsia" w:ascii="宋体" w:hAnsi="宋体"/>
          <w:color w:val="auto"/>
          <w:sz w:val="24"/>
          <w:szCs w:val="24"/>
          <w:highlight w:val="none"/>
        </w:rPr>
        <w:t>2.所附投标价格表中规定的应完成的服务投标报价为</w:t>
      </w:r>
      <w:r>
        <w:rPr>
          <w:rFonts w:hint="eastAsia" w:ascii="宋体" w:hAnsi="宋体"/>
          <w:color w:val="auto"/>
          <w:sz w:val="24"/>
          <w:szCs w:val="24"/>
          <w:highlight w:val="none"/>
          <w:u w:val="single"/>
        </w:rPr>
        <w:t>人民币金额数，（同时用文字和数字表示。）</w:t>
      </w:r>
      <w:r>
        <w:rPr>
          <w:rFonts w:hint="eastAsia" w:ascii="宋体" w:hAnsi="宋体"/>
          <w:color w:val="auto"/>
          <w:sz w:val="24"/>
          <w:szCs w:val="24"/>
          <w:highlight w:val="none"/>
        </w:rPr>
        <w:t>。</w:t>
      </w:r>
    </w:p>
    <w:p w14:paraId="258EAD8B">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eastAsia" w:ascii="宋体" w:hAnsi="宋体"/>
          <w:color w:val="auto"/>
          <w:sz w:val="24"/>
          <w:szCs w:val="24"/>
          <w:highlight w:val="none"/>
        </w:rPr>
      </w:pPr>
      <w:r>
        <w:rPr>
          <w:rFonts w:hint="eastAsia" w:ascii="宋体" w:hAnsi="宋体"/>
          <w:color w:val="auto"/>
          <w:sz w:val="24"/>
          <w:szCs w:val="24"/>
          <w:highlight w:val="none"/>
        </w:rPr>
        <w:t>3.我</w:t>
      </w:r>
      <w:r>
        <w:rPr>
          <w:rFonts w:ascii="宋体" w:hAnsi="宋体"/>
          <w:color w:val="auto"/>
          <w:sz w:val="24"/>
          <w:szCs w:val="24"/>
          <w:highlight w:val="none"/>
        </w:rPr>
        <w:t>方</w:t>
      </w:r>
      <w:r>
        <w:rPr>
          <w:rFonts w:hint="eastAsia" w:ascii="宋体" w:hAnsi="宋体"/>
          <w:color w:val="auto"/>
          <w:sz w:val="24"/>
          <w:szCs w:val="24"/>
          <w:highlight w:val="none"/>
        </w:rPr>
        <w:t>已仔细</w:t>
      </w:r>
      <w:r>
        <w:rPr>
          <w:rFonts w:ascii="宋体" w:hAnsi="宋体"/>
          <w:color w:val="auto"/>
          <w:sz w:val="24"/>
          <w:szCs w:val="24"/>
          <w:highlight w:val="none"/>
        </w:rPr>
        <w:t>研究</w:t>
      </w:r>
      <w:r>
        <w:rPr>
          <w:rFonts w:hint="eastAsia" w:ascii="宋体" w:hAnsi="宋体"/>
          <w:color w:val="auto"/>
          <w:sz w:val="24"/>
          <w:szCs w:val="24"/>
          <w:highlight w:val="none"/>
        </w:rPr>
        <w:t>并完</w:t>
      </w:r>
      <w:r>
        <w:rPr>
          <w:rFonts w:ascii="宋体" w:hAnsi="宋体"/>
          <w:color w:val="auto"/>
          <w:sz w:val="24"/>
          <w:szCs w:val="24"/>
          <w:highlight w:val="none"/>
        </w:rPr>
        <w:t>全理解了</w:t>
      </w:r>
      <w:r>
        <w:rPr>
          <w:rFonts w:hint="eastAsia" w:ascii="宋体" w:hAnsi="宋体"/>
          <w:color w:val="auto"/>
          <w:sz w:val="24"/>
          <w:szCs w:val="24"/>
          <w:highlight w:val="none"/>
        </w:rPr>
        <w:t>全部招标文件（</w:t>
      </w:r>
      <w:r>
        <w:rPr>
          <w:rFonts w:ascii="宋体" w:hAnsi="宋体"/>
          <w:color w:val="auto"/>
          <w:sz w:val="24"/>
          <w:szCs w:val="24"/>
          <w:highlight w:val="none"/>
        </w:rPr>
        <w:t>包括</w:t>
      </w:r>
      <w:r>
        <w:rPr>
          <w:rFonts w:hint="eastAsia" w:ascii="宋体" w:hAnsi="宋体"/>
          <w:color w:val="auto"/>
          <w:sz w:val="24"/>
          <w:szCs w:val="24"/>
          <w:highlight w:val="none"/>
        </w:rPr>
        <w:t>修改</w:t>
      </w:r>
      <w:r>
        <w:rPr>
          <w:rFonts w:ascii="宋体" w:hAnsi="宋体"/>
          <w:color w:val="auto"/>
          <w:sz w:val="24"/>
          <w:szCs w:val="24"/>
          <w:highlight w:val="none"/>
        </w:rPr>
        <w:t>文</w:t>
      </w:r>
      <w:r>
        <w:rPr>
          <w:rFonts w:hint="eastAsia" w:ascii="宋体" w:hAnsi="宋体"/>
          <w:color w:val="auto"/>
          <w:sz w:val="24"/>
          <w:szCs w:val="24"/>
          <w:highlight w:val="none"/>
        </w:rPr>
        <w:t>件、</w:t>
      </w:r>
      <w:r>
        <w:rPr>
          <w:rFonts w:ascii="宋体" w:hAnsi="宋体"/>
          <w:color w:val="auto"/>
          <w:sz w:val="24"/>
          <w:szCs w:val="24"/>
          <w:highlight w:val="none"/>
        </w:rPr>
        <w:t>附件等相关资料）</w:t>
      </w:r>
      <w:r>
        <w:rPr>
          <w:rFonts w:hint="eastAsia" w:ascii="宋体" w:hAnsi="宋体"/>
          <w:color w:val="auto"/>
          <w:sz w:val="24"/>
          <w:szCs w:val="24"/>
          <w:highlight w:val="none"/>
        </w:rPr>
        <w:t>规定的</w:t>
      </w:r>
      <w:r>
        <w:rPr>
          <w:rFonts w:ascii="宋体" w:hAnsi="宋体"/>
          <w:color w:val="auto"/>
          <w:sz w:val="24"/>
          <w:szCs w:val="24"/>
          <w:highlight w:val="none"/>
        </w:rPr>
        <w:t>内容</w:t>
      </w:r>
      <w:r>
        <w:rPr>
          <w:rFonts w:hint="eastAsia" w:ascii="宋体" w:hAnsi="宋体"/>
          <w:color w:val="auto"/>
          <w:sz w:val="24"/>
          <w:szCs w:val="24"/>
          <w:highlight w:val="none"/>
        </w:rPr>
        <w:t>，并</w:t>
      </w:r>
      <w:r>
        <w:rPr>
          <w:rFonts w:ascii="宋体" w:hAnsi="宋体"/>
          <w:color w:val="auto"/>
          <w:sz w:val="24"/>
          <w:szCs w:val="24"/>
          <w:highlight w:val="none"/>
        </w:rPr>
        <w:t>承诺在发生争议时，不会以对招标文件存在误解、不明为由，向</w:t>
      </w:r>
      <w:r>
        <w:rPr>
          <w:rFonts w:hint="eastAsia" w:ascii="宋体" w:hAnsi="宋体"/>
          <w:color w:val="auto"/>
          <w:sz w:val="24"/>
          <w:szCs w:val="24"/>
          <w:highlight w:val="none"/>
        </w:rPr>
        <w:t>采购</w:t>
      </w:r>
      <w:r>
        <w:rPr>
          <w:rFonts w:ascii="宋体" w:hAnsi="宋体"/>
          <w:color w:val="auto"/>
          <w:sz w:val="24"/>
          <w:szCs w:val="24"/>
          <w:highlight w:val="none"/>
        </w:rPr>
        <w:t>人及采购代理机构</w:t>
      </w:r>
      <w:r>
        <w:rPr>
          <w:rFonts w:hint="eastAsia" w:ascii="宋体" w:hAnsi="宋体"/>
          <w:color w:val="auto"/>
          <w:sz w:val="24"/>
          <w:szCs w:val="24"/>
          <w:highlight w:val="none"/>
        </w:rPr>
        <w:t>行使</w:t>
      </w:r>
      <w:r>
        <w:rPr>
          <w:rFonts w:ascii="宋体" w:hAnsi="宋体"/>
          <w:color w:val="auto"/>
          <w:sz w:val="24"/>
          <w:szCs w:val="24"/>
          <w:highlight w:val="none"/>
        </w:rPr>
        <w:t>任何法律上的抗辩权。</w:t>
      </w:r>
    </w:p>
    <w:p w14:paraId="7D2CDEA1">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eastAsia" w:ascii="宋体" w:hAnsi="宋体"/>
          <w:color w:val="auto"/>
          <w:sz w:val="24"/>
          <w:szCs w:val="24"/>
          <w:highlight w:val="none"/>
        </w:rPr>
      </w:pPr>
      <w:r>
        <w:rPr>
          <w:rFonts w:hint="eastAsia" w:ascii="宋体" w:hAnsi="宋体"/>
          <w:color w:val="auto"/>
          <w:sz w:val="24"/>
          <w:szCs w:val="24"/>
          <w:highlight w:val="none"/>
        </w:rPr>
        <w:t>4.本投标有效期为自开标日起</w:t>
      </w:r>
      <w:r>
        <w:rPr>
          <w:rFonts w:hint="eastAsia" w:ascii="宋体" w:hAnsi="宋体"/>
          <w:color w:val="auto"/>
          <w:sz w:val="24"/>
          <w:szCs w:val="24"/>
          <w:highlight w:val="none"/>
          <w:u w:val="single"/>
        </w:rPr>
        <w:t xml:space="preserve">  90  </w:t>
      </w:r>
      <w:r>
        <w:rPr>
          <w:rFonts w:hint="eastAsia" w:ascii="宋体" w:hAnsi="宋体"/>
          <w:color w:val="auto"/>
          <w:sz w:val="24"/>
          <w:szCs w:val="24"/>
          <w:highlight w:val="none"/>
        </w:rPr>
        <w:t>个日历日。</w:t>
      </w:r>
    </w:p>
    <w:p w14:paraId="6B6F98F1">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default" w:ascii="宋体" w:hAnsi="宋体" w:eastAsia="宋体"/>
          <w:color w:val="auto"/>
          <w:sz w:val="24"/>
          <w:szCs w:val="24"/>
          <w:highlight w:val="none"/>
          <w:u w:val="single"/>
          <w:lang w:val="en-US" w:eastAsia="zh-CN"/>
        </w:rPr>
      </w:pP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服务期限：</w:t>
      </w:r>
      <w:r>
        <w:rPr>
          <w:rFonts w:hint="eastAsia" w:ascii="宋体" w:hAnsi="宋体"/>
          <w:color w:val="auto"/>
          <w:sz w:val="24"/>
          <w:szCs w:val="24"/>
          <w:highlight w:val="none"/>
          <w:u w:val="single"/>
          <w:lang w:val="en-US" w:eastAsia="zh-CN"/>
        </w:rPr>
        <w:t xml:space="preserve">                                。</w:t>
      </w:r>
    </w:p>
    <w:p w14:paraId="055C1EEF">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.我方承诺</w:t>
      </w:r>
      <w:r>
        <w:rPr>
          <w:rFonts w:ascii="宋体" w:hAnsi="宋体"/>
          <w:color w:val="auto"/>
          <w:sz w:val="24"/>
          <w:szCs w:val="24"/>
          <w:highlight w:val="none"/>
        </w:rPr>
        <w:t>投</w:t>
      </w:r>
      <w:r>
        <w:rPr>
          <w:rFonts w:hint="eastAsia" w:ascii="宋体" w:hAnsi="宋体"/>
          <w:color w:val="auto"/>
          <w:sz w:val="24"/>
          <w:szCs w:val="24"/>
          <w:highlight w:val="none"/>
        </w:rPr>
        <w:t>标</w:t>
      </w:r>
      <w:r>
        <w:rPr>
          <w:rFonts w:ascii="宋体" w:hAnsi="宋体"/>
          <w:color w:val="auto"/>
          <w:sz w:val="24"/>
          <w:szCs w:val="24"/>
          <w:highlight w:val="none"/>
        </w:rPr>
        <w:t>文件</w:t>
      </w:r>
      <w:r>
        <w:rPr>
          <w:rFonts w:hint="eastAsia" w:ascii="宋体" w:hAnsi="宋体"/>
          <w:color w:val="auto"/>
          <w:sz w:val="24"/>
          <w:szCs w:val="24"/>
          <w:highlight w:val="none"/>
        </w:rPr>
        <w:t>及所</w:t>
      </w:r>
      <w:r>
        <w:rPr>
          <w:rFonts w:ascii="宋体" w:hAnsi="宋体"/>
          <w:color w:val="auto"/>
          <w:sz w:val="24"/>
          <w:szCs w:val="24"/>
          <w:highlight w:val="none"/>
        </w:rPr>
        <w:t>有提供的一切数据或资料均</w:t>
      </w:r>
      <w:r>
        <w:rPr>
          <w:rFonts w:hint="eastAsia" w:ascii="宋体" w:hAnsi="宋体"/>
          <w:color w:val="auto"/>
          <w:sz w:val="24"/>
          <w:szCs w:val="24"/>
          <w:highlight w:val="none"/>
        </w:rPr>
        <w:t>真实</w:t>
      </w:r>
      <w:r>
        <w:rPr>
          <w:rFonts w:ascii="宋体" w:hAnsi="宋体"/>
          <w:color w:val="auto"/>
          <w:sz w:val="24"/>
          <w:szCs w:val="24"/>
          <w:highlight w:val="none"/>
        </w:rPr>
        <w:t>、</w:t>
      </w:r>
      <w:r>
        <w:rPr>
          <w:rFonts w:hint="eastAsia" w:ascii="宋体" w:hAnsi="宋体"/>
          <w:color w:val="auto"/>
          <w:sz w:val="24"/>
          <w:szCs w:val="24"/>
          <w:highlight w:val="none"/>
        </w:rPr>
        <w:t>准确</w:t>
      </w:r>
      <w:r>
        <w:rPr>
          <w:rFonts w:ascii="宋体" w:hAnsi="宋体"/>
          <w:color w:val="auto"/>
          <w:sz w:val="24"/>
          <w:szCs w:val="24"/>
          <w:highlight w:val="none"/>
        </w:rPr>
        <w:t>、合法、有效</w:t>
      </w:r>
      <w:r>
        <w:rPr>
          <w:rFonts w:hint="eastAsia" w:ascii="宋体" w:hAnsi="宋体"/>
          <w:color w:val="auto"/>
          <w:sz w:val="24"/>
          <w:szCs w:val="24"/>
          <w:highlight w:val="none"/>
        </w:rPr>
        <w:t>。由于</w:t>
      </w:r>
      <w:r>
        <w:rPr>
          <w:rFonts w:ascii="宋体" w:hAnsi="宋体"/>
          <w:color w:val="auto"/>
          <w:sz w:val="24"/>
          <w:szCs w:val="24"/>
          <w:highlight w:val="none"/>
        </w:rPr>
        <w:t>我方提供的资料不实而</w:t>
      </w:r>
      <w:r>
        <w:rPr>
          <w:rFonts w:hint="eastAsia" w:ascii="宋体" w:hAnsi="宋体"/>
          <w:color w:val="auto"/>
          <w:sz w:val="24"/>
          <w:szCs w:val="24"/>
          <w:highlight w:val="none"/>
        </w:rPr>
        <w:t>导致</w:t>
      </w:r>
      <w:r>
        <w:rPr>
          <w:rFonts w:ascii="宋体" w:hAnsi="宋体"/>
          <w:color w:val="auto"/>
          <w:sz w:val="24"/>
          <w:szCs w:val="24"/>
          <w:highlight w:val="none"/>
        </w:rPr>
        <w:t>中标结果无</w:t>
      </w:r>
      <w:r>
        <w:rPr>
          <w:rFonts w:hint="eastAsia" w:ascii="宋体" w:hAnsi="宋体"/>
          <w:color w:val="auto"/>
          <w:sz w:val="24"/>
          <w:szCs w:val="24"/>
          <w:highlight w:val="none"/>
        </w:rPr>
        <w:t>效，</w:t>
      </w:r>
      <w:r>
        <w:rPr>
          <w:rFonts w:ascii="宋体" w:hAnsi="宋体"/>
          <w:color w:val="auto"/>
          <w:sz w:val="24"/>
          <w:szCs w:val="24"/>
          <w:highlight w:val="none"/>
        </w:rPr>
        <w:t>给其他投</w:t>
      </w:r>
      <w:r>
        <w:rPr>
          <w:rFonts w:hint="eastAsia" w:ascii="宋体" w:hAnsi="宋体"/>
          <w:color w:val="auto"/>
          <w:sz w:val="24"/>
          <w:szCs w:val="24"/>
          <w:highlight w:val="none"/>
        </w:rPr>
        <w:t>标人</w:t>
      </w:r>
      <w:r>
        <w:rPr>
          <w:rFonts w:ascii="宋体" w:hAnsi="宋体"/>
          <w:color w:val="auto"/>
          <w:sz w:val="24"/>
          <w:szCs w:val="24"/>
          <w:highlight w:val="none"/>
        </w:rPr>
        <w:t>及采购人造成的全部损失，我方同意无条件予以赔偿。</w:t>
      </w:r>
    </w:p>
    <w:p w14:paraId="13EFEF87">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7</w:t>
      </w:r>
      <w:r>
        <w:rPr>
          <w:rFonts w:hint="eastAsia" w:ascii="宋体" w:hAnsi="宋体"/>
          <w:color w:val="auto"/>
          <w:sz w:val="24"/>
          <w:szCs w:val="24"/>
          <w:highlight w:val="none"/>
        </w:rPr>
        <w:t>.我方投</w:t>
      </w:r>
      <w:r>
        <w:rPr>
          <w:rFonts w:ascii="宋体" w:hAnsi="宋体"/>
          <w:color w:val="auto"/>
          <w:sz w:val="24"/>
          <w:szCs w:val="24"/>
          <w:highlight w:val="none"/>
        </w:rPr>
        <w:t>标文件</w:t>
      </w:r>
      <w:r>
        <w:rPr>
          <w:rFonts w:hint="eastAsia" w:ascii="宋体" w:hAnsi="宋体"/>
          <w:color w:val="auto"/>
          <w:sz w:val="24"/>
          <w:szCs w:val="24"/>
          <w:highlight w:val="none"/>
        </w:rPr>
        <w:t>、你</w:t>
      </w:r>
      <w:r>
        <w:rPr>
          <w:rFonts w:ascii="宋体" w:hAnsi="宋体"/>
          <w:color w:val="auto"/>
          <w:sz w:val="24"/>
          <w:szCs w:val="24"/>
          <w:highlight w:val="none"/>
        </w:rPr>
        <w:t>方的中标通知书、</w:t>
      </w:r>
      <w:r>
        <w:rPr>
          <w:rFonts w:hint="eastAsia" w:ascii="宋体" w:hAnsi="宋体"/>
          <w:color w:val="auto"/>
          <w:sz w:val="24"/>
          <w:szCs w:val="24"/>
          <w:highlight w:val="none"/>
        </w:rPr>
        <w:t>招标</w:t>
      </w:r>
      <w:r>
        <w:rPr>
          <w:rFonts w:ascii="宋体" w:hAnsi="宋体"/>
          <w:color w:val="auto"/>
          <w:sz w:val="24"/>
          <w:szCs w:val="24"/>
          <w:highlight w:val="none"/>
        </w:rPr>
        <w:t>文件将成为约束双方的合同文件组成部分，若招标文件存在要求，而</w:t>
      </w:r>
      <w:r>
        <w:rPr>
          <w:rFonts w:hint="eastAsia" w:ascii="宋体" w:hAnsi="宋体"/>
          <w:color w:val="auto"/>
          <w:sz w:val="24"/>
          <w:szCs w:val="24"/>
          <w:highlight w:val="none"/>
        </w:rPr>
        <w:t>投标</w:t>
      </w:r>
      <w:r>
        <w:rPr>
          <w:rFonts w:ascii="宋体" w:hAnsi="宋体"/>
          <w:color w:val="auto"/>
          <w:sz w:val="24"/>
          <w:szCs w:val="24"/>
          <w:highlight w:val="none"/>
        </w:rPr>
        <w:t>文件没有拒绝亦没有涉及的情形下，我方接受招标文件的</w:t>
      </w:r>
      <w:r>
        <w:rPr>
          <w:rFonts w:hint="eastAsia" w:ascii="宋体" w:hAnsi="宋体"/>
          <w:color w:val="auto"/>
          <w:sz w:val="24"/>
          <w:szCs w:val="24"/>
          <w:highlight w:val="none"/>
        </w:rPr>
        <w:t>有</w:t>
      </w:r>
      <w:r>
        <w:rPr>
          <w:rFonts w:ascii="宋体" w:hAnsi="宋体"/>
          <w:color w:val="auto"/>
          <w:sz w:val="24"/>
          <w:szCs w:val="24"/>
          <w:highlight w:val="none"/>
        </w:rPr>
        <w:t>关约束，并同意将招标文件对投标人的要求作为投标人合同义务的组成部分。</w:t>
      </w:r>
    </w:p>
    <w:p w14:paraId="3CF6BE3F">
      <w:pPr>
        <w:keepNext w:val="0"/>
        <w:keepLines w:val="0"/>
        <w:pageBreakBefore w:val="0"/>
        <w:shd w:val="clear"/>
        <w:kinsoku/>
        <w:wordWrap/>
        <w:overflowPunct/>
        <w:topLinePunct w:val="0"/>
        <w:autoSpaceDE/>
        <w:autoSpaceDN/>
        <w:bidi w:val="0"/>
        <w:spacing w:after="0" w:line="276" w:lineRule="auto"/>
        <w:ind w:left="1"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8.</w:t>
      </w:r>
      <w:r>
        <w:rPr>
          <w:rFonts w:hint="eastAsia" w:ascii="宋体" w:hAnsi="宋体"/>
          <w:color w:val="auto"/>
          <w:sz w:val="24"/>
          <w:szCs w:val="24"/>
          <w:highlight w:val="none"/>
        </w:rPr>
        <w:t>我</w:t>
      </w:r>
      <w:r>
        <w:rPr>
          <w:rFonts w:ascii="宋体" w:hAnsi="宋体"/>
          <w:color w:val="auto"/>
          <w:sz w:val="24"/>
          <w:szCs w:val="24"/>
          <w:highlight w:val="none"/>
        </w:rPr>
        <w:t>方将严格遵</w:t>
      </w:r>
      <w:r>
        <w:rPr>
          <w:rFonts w:hint="eastAsia" w:ascii="宋体" w:hAnsi="宋体"/>
          <w:color w:val="auto"/>
          <w:sz w:val="24"/>
          <w:szCs w:val="24"/>
          <w:highlight w:val="none"/>
        </w:rPr>
        <w:t>守法律</w:t>
      </w:r>
      <w:r>
        <w:rPr>
          <w:rFonts w:ascii="宋体" w:hAnsi="宋体"/>
          <w:color w:val="auto"/>
          <w:sz w:val="24"/>
          <w:szCs w:val="24"/>
          <w:highlight w:val="none"/>
        </w:rPr>
        <w:t>、法规等法律规范性文件的规定，若存在违法违规</w:t>
      </w:r>
      <w:r>
        <w:rPr>
          <w:rFonts w:hint="eastAsia" w:ascii="宋体" w:hAnsi="宋体"/>
          <w:color w:val="auto"/>
          <w:sz w:val="24"/>
          <w:szCs w:val="24"/>
          <w:highlight w:val="none"/>
        </w:rPr>
        <w:t>等</w:t>
      </w:r>
      <w:r>
        <w:rPr>
          <w:rFonts w:ascii="宋体" w:hAnsi="宋体"/>
          <w:color w:val="auto"/>
          <w:sz w:val="24"/>
          <w:szCs w:val="24"/>
          <w:highlight w:val="none"/>
        </w:rPr>
        <w:t>行为，将承担相应的法律</w:t>
      </w:r>
      <w:r>
        <w:rPr>
          <w:rFonts w:hint="eastAsia" w:ascii="宋体" w:hAnsi="宋体"/>
          <w:color w:val="auto"/>
          <w:sz w:val="24"/>
          <w:szCs w:val="24"/>
          <w:highlight w:val="none"/>
        </w:rPr>
        <w:t>责任</w:t>
      </w:r>
      <w:r>
        <w:rPr>
          <w:rFonts w:ascii="宋体" w:hAnsi="宋体"/>
          <w:color w:val="auto"/>
          <w:sz w:val="24"/>
          <w:szCs w:val="24"/>
          <w:highlight w:val="none"/>
        </w:rPr>
        <w:t>。</w:t>
      </w:r>
    </w:p>
    <w:p w14:paraId="0CEBDB92">
      <w:pPr>
        <w:shd w:val="clear"/>
        <w:rPr>
          <w:rFonts w:hint="eastAsia" w:ascii="宋体" w:hAnsi="宋体"/>
          <w:color w:val="auto"/>
          <w:sz w:val="24"/>
          <w:highlight w:val="none"/>
        </w:rPr>
      </w:pPr>
    </w:p>
    <w:p w14:paraId="267CD384">
      <w:pPr>
        <w:shd w:val="clear"/>
        <w:rPr>
          <w:rFonts w:hint="eastAsia" w:ascii="宋体" w:hAnsi="宋体"/>
          <w:color w:val="auto"/>
          <w:sz w:val="24"/>
          <w:szCs w:val="24"/>
          <w:highlight w:val="none"/>
        </w:rPr>
      </w:pPr>
      <w:r>
        <w:rPr>
          <w:rFonts w:hint="eastAsia" w:ascii="宋体" w:hAnsi="宋体"/>
          <w:color w:val="auto"/>
          <w:sz w:val="24"/>
          <w:highlight w:val="none"/>
        </w:rPr>
        <w:t>法定代表人(签字或盖章)或被授权人（签字）</w:t>
      </w:r>
      <w:r>
        <w:rPr>
          <w:rFonts w:hint="eastAsia" w:ascii="宋体" w:hAnsi="宋体"/>
          <w:color w:val="auto"/>
          <w:sz w:val="24"/>
          <w:szCs w:val="24"/>
          <w:highlight w:val="none"/>
        </w:rPr>
        <w:t>：</w:t>
      </w:r>
      <w:r>
        <w:rPr>
          <w:rFonts w:hint="eastAsia" w:ascii="宋体" w:hAnsi="宋体"/>
          <w:color w:val="auto"/>
          <w:sz w:val="24"/>
          <w:szCs w:val="24"/>
          <w:highlight w:val="none"/>
          <w:u w:val="single"/>
        </w:rPr>
        <w:t xml:space="preserve">                            </w:t>
      </w:r>
    </w:p>
    <w:p w14:paraId="267B1BF4">
      <w:pPr>
        <w:shd w:val="clear"/>
        <w:rPr>
          <w:rFonts w:hint="eastAsia" w:ascii="宋体" w:hAnsi="宋体"/>
          <w:color w:val="auto"/>
          <w:sz w:val="24"/>
          <w:szCs w:val="24"/>
          <w:highlight w:val="none"/>
        </w:rPr>
      </w:pPr>
      <w:r>
        <w:rPr>
          <w:rFonts w:hint="eastAsia" w:ascii="宋体" w:hAnsi="宋体"/>
          <w:color w:val="auto"/>
          <w:sz w:val="24"/>
          <w:szCs w:val="24"/>
          <w:highlight w:val="none"/>
        </w:rPr>
        <w:t>投标人名称：</w:t>
      </w:r>
      <w:r>
        <w:rPr>
          <w:rFonts w:hint="eastAsia" w:ascii="宋体" w:hAnsi="宋体"/>
          <w:color w:val="auto"/>
          <w:sz w:val="24"/>
          <w:szCs w:val="24"/>
          <w:highlight w:val="none"/>
          <w:u w:val="single"/>
        </w:rPr>
        <w:t xml:space="preserve">                                </w:t>
      </w:r>
    </w:p>
    <w:p w14:paraId="4C12E7AB">
      <w:pPr>
        <w:shd w:val="clear"/>
        <w:rPr>
          <w:rFonts w:hint="eastAsia" w:ascii="宋体" w:hAnsi="宋体"/>
          <w:color w:val="auto"/>
          <w:sz w:val="24"/>
          <w:szCs w:val="24"/>
          <w:highlight w:val="none"/>
        </w:rPr>
      </w:pPr>
      <w:r>
        <w:rPr>
          <w:rFonts w:hint="eastAsia" w:ascii="宋体" w:hAnsi="宋体"/>
          <w:color w:val="auto"/>
          <w:sz w:val="24"/>
          <w:szCs w:val="24"/>
          <w:highlight w:val="none"/>
        </w:rPr>
        <w:t>投标人公章：</w:t>
      </w:r>
      <w:r>
        <w:rPr>
          <w:rFonts w:hint="eastAsia" w:ascii="宋体" w:hAnsi="宋体"/>
          <w:color w:val="auto"/>
          <w:sz w:val="24"/>
          <w:szCs w:val="24"/>
          <w:highlight w:val="none"/>
          <w:u w:val="single"/>
        </w:rPr>
        <w:t xml:space="preserve">                                </w:t>
      </w:r>
    </w:p>
    <w:p w14:paraId="1EE09BE7">
      <w:pPr>
        <w:shd w:val="clear"/>
        <w:rPr>
          <w:rFonts w:hint="eastAsia" w:ascii="宋体" w:hAnsi="宋体"/>
          <w:color w:val="auto"/>
          <w:sz w:val="24"/>
          <w:szCs w:val="24"/>
          <w:highlight w:val="none"/>
          <w:u w:val="single"/>
        </w:rPr>
      </w:pPr>
      <w:r>
        <w:rPr>
          <w:rFonts w:hint="eastAsia" w:ascii="宋体" w:hAnsi="宋体"/>
          <w:color w:val="auto"/>
          <w:sz w:val="24"/>
          <w:szCs w:val="24"/>
          <w:highlight w:val="none"/>
        </w:rPr>
        <w:t>日期：</w:t>
      </w:r>
      <w:r>
        <w:rPr>
          <w:rFonts w:hint="eastAsia" w:ascii="宋体" w:hAnsi="宋体"/>
          <w:color w:val="auto"/>
          <w:sz w:val="24"/>
          <w:szCs w:val="24"/>
          <w:highlight w:val="none"/>
          <w:u w:val="single"/>
        </w:rPr>
        <w:t xml:space="preserve">                                      </w:t>
      </w:r>
    </w:p>
    <w:p w14:paraId="2E63D8D2">
      <w:pPr>
        <w:shd w:val="clear"/>
        <w:spacing w:after="0" w:line="276" w:lineRule="auto"/>
        <w:rPr>
          <w:rFonts w:hint="eastAsia" w:ascii="宋体" w:hAnsi="宋体"/>
          <w:b/>
          <w:color w:val="auto"/>
          <w:sz w:val="24"/>
          <w:highlight w:val="none"/>
        </w:rPr>
      </w:pPr>
    </w:p>
    <w:p w14:paraId="7D320074">
      <w:pPr>
        <w:shd w:val="clear"/>
        <w:spacing w:after="0" w:line="276" w:lineRule="auto"/>
        <w:rPr>
          <w:rFonts w:hint="eastAsia" w:ascii="宋体" w:hAnsi="宋体"/>
          <w:b/>
          <w:color w:val="auto"/>
          <w:sz w:val="24"/>
          <w:highlight w:val="none"/>
        </w:rPr>
      </w:pPr>
      <w:r>
        <w:rPr>
          <w:rFonts w:hint="eastAsia" w:ascii="宋体" w:hAnsi="宋体"/>
          <w:b/>
          <w:color w:val="auto"/>
          <w:sz w:val="24"/>
          <w:highlight w:val="none"/>
        </w:rPr>
        <w:t>注</w:t>
      </w:r>
      <w:r>
        <w:rPr>
          <w:rFonts w:ascii="宋体" w:hAnsi="宋体"/>
          <w:b/>
          <w:color w:val="auto"/>
          <w:sz w:val="24"/>
          <w:highlight w:val="none"/>
        </w:rPr>
        <w:t>：</w:t>
      </w:r>
      <w:r>
        <w:rPr>
          <w:rFonts w:hint="eastAsia" w:ascii="宋体" w:hAnsi="宋体"/>
          <w:b/>
          <w:color w:val="auto"/>
          <w:sz w:val="24"/>
          <w:highlight w:val="none"/>
        </w:rPr>
        <w:t>1、</w:t>
      </w:r>
      <w:r>
        <w:rPr>
          <w:rFonts w:ascii="宋体" w:hAnsi="宋体"/>
          <w:b/>
          <w:color w:val="auto"/>
          <w:sz w:val="24"/>
          <w:highlight w:val="none"/>
        </w:rPr>
        <w:t>本格式文件内容不得擅自删改。</w:t>
      </w:r>
    </w:p>
    <w:p w14:paraId="0E684955">
      <w:pPr>
        <w:shd w:val="clear"/>
        <w:spacing w:after="0" w:line="220" w:lineRule="atLeast"/>
        <w:ind w:right="-2" w:firstLine="482" w:firstLineChars="200"/>
        <w:rPr>
          <w:rFonts w:hint="eastAsia" w:ascii="宋体" w:hAnsi="宋体"/>
          <w:b/>
          <w:color w:val="auto"/>
          <w:sz w:val="24"/>
          <w:highlight w:val="none"/>
        </w:rPr>
        <w:sectPr>
          <w:headerReference r:id="rId4" w:type="default"/>
          <w:footerReference r:id="rId5" w:type="default"/>
          <w:footerReference r:id="rId6" w:type="even"/>
          <w:pgSz w:w="11906" w:h="16838"/>
          <w:pgMar w:top="1440" w:right="1416" w:bottom="1276" w:left="1800" w:header="708" w:footer="708" w:gutter="0"/>
          <w:pgBorders>
            <w:top w:val="none" w:sz="0" w:space="0"/>
            <w:left w:val="none" w:sz="0" w:space="0"/>
            <w:bottom w:val="none" w:sz="0" w:space="0"/>
            <w:right w:val="none" w:sz="0" w:space="0"/>
          </w:pgBorders>
          <w:pgNumType w:fmt="numberInDash" w:start="0"/>
          <w:cols w:space="708" w:num="1"/>
          <w:titlePg/>
          <w:docGrid w:linePitch="360" w:charSpace="0"/>
        </w:sectPr>
      </w:pPr>
      <w:r>
        <w:rPr>
          <w:rFonts w:hint="eastAsia" w:ascii="宋体" w:hAnsi="宋体"/>
          <w:b/>
          <w:color w:val="auto"/>
          <w:sz w:val="24"/>
          <w:highlight w:val="none"/>
        </w:rPr>
        <w:t>2、本文件应按规定签署，否则视为该文件无效。</w:t>
      </w:r>
    </w:p>
    <w:p w14:paraId="194C8123">
      <w:pPr>
        <w:shd w:val="clear"/>
        <w:spacing w:after="0"/>
        <w:ind w:right="-2"/>
        <w:jc w:val="center"/>
        <w:rPr>
          <w:rFonts w:hint="eastAsia" w:ascii="宋体" w:hAnsi="宋体"/>
          <w:color w:val="auto"/>
          <w:sz w:val="36"/>
          <w:szCs w:val="36"/>
          <w:highlight w:val="none"/>
        </w:rPr>
      </w:pPr>
      <w:r>
        <w:rPr>
          <w:rFonts w:hint="eastAsia" w:ascii="宋体" w:hAnsi="宋体"/>
          <w:color w:val="auto"/>
          <w:sz w:val="36"/>
          <w:szCs w:val="36"/>
          <w:highlight w:val="none"/>
        </w:rPr>
        <w:t>二、投标报价表</w:t>
      </w:r>
    </w:p>
    <w:tbl>
      <w:tblPr>
        <w:tblStyle w:val="17"/>
        <w:tblW w:w="508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5"/>
        <w:gridCol w:w="1179"/>
        <w:gridCol w:w="4596"/>
        <w:gridCol w:w="586"/>
        <w:gridCol w:w="719"/>
        <w:gridCol w:w="954"/>
        <w:gridCol w:w="1034"/>
        <w:gridCol w:w="169"/>
      </w:tblGrid>
      <w:tr w14:paraId="0ED1D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trHeight w:val="624" w:hRule="atLeast"/>
          <w:jc w:val="center"/>
        </w:trPr>
        <w:tc>
          <w:tcPr>
            <w:tcW w:w="254" w:type="pct"/>
            <w:noWrap w:val="0"/>
            <w:vAlign w:val="center"/>
          </w:tcPr>
          <w:p w14:paraId="41B323A8">
            <w:pPr>
              <w:keepNext w:val="0"/>
              <w:keepLines w:val="0"/>
              <w:pageBreakBefore w:val="0"/>
              <w:widowControl/>
              <w:shd w:val="clear"/>
              <w:kinsoku/>
              <w:wordWrap/>
              <w:overflowPunct/>
              <w:topLinePunct w:val="0"/>
              <w:autoSpaceDE w:val="0"/>
              <w:autoSpaceDN/>
              <w:bidi w:val="0"/>
              <w:adjustRightInd w:val="0"/>
              <w:snapToGrid w:val="0"/>
              <w:spacing w:after="0" w:line="240" w:lineRule="auto"/>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605" w:type="pct"/>
            <w:noWrap w:val="0"/>
            <w:vAlign w:val="center"/>
          </w:tcPr>
          <w:p w14:paraId="3E9CCB16">
            <w:pPr>
              <w:keepNext w:val="0"/>
              <w:keepLines w:val="0"/>
              <w:pageBreakBefore w:val="0"/>
              <w:widowControl/>
              <w:shd w:val="clear"/>
              <w:kinsoku/>
              <w:wordWrap/>
              <w:overflowPunct/>
              <w:topLinePunct w:val="0"/>
              <w:autoSpaceDE w:val="0"/>
              <w:autoSpaceDN/>
              <w:bidi w:val="0"/>
              <w:adjustRightInd w:val="0"/>
              <w:snapToGrid w:val="0"/>
              <w:spacing w:after="0" w:line="240" w:lineRule="auto"/>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2361" w:type="pct"/>
            <w:noWrap w:val="0"/>
            <w:vAlign w:val="center"/>
          </w:tcPr>
          <w:p w14:paraId="3385D988">
            <w:pPr>
              <w:keepNext w:val="0"/>
              <w:keepLines w:val="0"/>
              <w:pageBreakBefore w:val="0"/>
              <w:widowControl/>
              <w:shd w:val="clear"/>
              <w:kinsoku/>
              <w:wordWrap/>
              <w:overflowPunct/>
              <w:topLinePunct w:val="0"/>
              <w:autoSpaceDE w:val="0"/>
              <w:autoSpaceDN/>
              <w:bidi w:val="0"/>
              <w:adjustRightInd w:val="0"/>
              <w:snapToGrid w:val="0"/>
              <w:spacing w:after="0" w:line="240" w:lineRule="auto"/>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项目特征描述</w:t>
            </w:r>
          </w:p>
        </w:tc>
        <w:tc>
          <w:tcPr>
            <w:tcW w:w="301" w:type="pct"/>
            <w:noWrap w:val="0"/>
            <w:vAlign w:val="center"/>
          </w:tcPr>
          <w:p w14:paraId="6FD3A3F5">
            <w:pPr>
              <w:keepNext w:val="0"/>
              <w:keepLines w:val="0"/>
              <w:pageBreakBefore w:val="0"/>
              <w:widowControl/>
              <w:shd w:val="clear"/>
              <w:kinsoku/>
              <w:wordWrap/>
              <w:overflowPunct/>
              <w:topLinePunct w:val="0"/>
              <w:autoSpaceDE w:val="0"/>
              <w:autoSpaceDN/>
              <w:bidi w:val="0"/>
              <w:adjustRightInd w:val="0"/>
              <w:snapToGrid w:val="0"/>
              <w:spacing w:after="0" w:line="240" w:lineRule="auto"/>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w:t>
            </w:r>
          </w:p>
        </w:tc>
        <w:tc>
          <w:tcPr>
            <w:tcW w:w="369" w:type="pct"/>
            <w:noWrap w:val="0"/>
            <w:vAlign w:val="center"/>
          </w:tcPr>
          <w:p w14:paraId="20A105E8">
            <w:pPr>
              <w:keepNext w:val="0"/>
              <w:keepLines w:val="0"/>
              <w:pageBreakBefore w:val="0"/>
              <w:widowControl/>
              <w:shd w:val="clear"/>
              <w:kinsoku/>
              <w:wordWrap/>
              <w:overflowPunct/>
              <w:topLinePunct w:val="0"/>
              <w:autoSpaceDE w:val="0"/>
              <w:autoSpaceDN/>
              <w:bidi w:val="0"/>
              <w:adjustRightInd w:val="0"/>
              <w:snapToGrid w:val="0"/>
              <w:spacing w:after="0" w:line="240" w:lineRule="auto"/>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工程量</w:t>
            </w:r>
          </w:p>
        </w:tc>
        <w:tc>
          <w:tcPr>
            <w:tcW w:w="490" w:type="pct"/>
            <w:noWrap w:val="0"/>
            <w:vAlign w:val="center"/>
          </w:tcPr>
          <w:p w14:paraId="301B0946">
            <w:pPr>
              <w:shd w:val="clear"/>
              <w:autoSpaceDE w:val="0"/>
              <w:spacing w:after="0" w:line="240" w:lineRule="auto"/>
              <w:jc w:val="center"/>
              <w:textAlignment w:val="baseline"/>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综合单价</w:t>
            </w:r>
            <w:r>
              <w:rPr>
                <w:rFonts w:hint="eastAsia" w:ascii="宋体" w:hAnsi="宋体" w:cs="宋体"/>
                <w:color w:val="auto"/>
                <w:sz w:val="22"/>
                <w:szCs w:val="22"/>
                <w:highlight w:val="none"/>
                <w:lang w:val="en-US" w:eastAsia="zh-CN"/>
              </w:rPr>
              <w:t>(元)</w:t>
            </w:r>
          </w:p>
        </w:tc>
        <w:tc>
          <w:tcPr>
            <w:tcW w:w="531" w:type="pct"/>
            <w:noWrap w:val="0"/>
            <w:vAlign w:val="center"/>
          </w:tcPr>
          <w:p w14:paraId="58A69556">
            <w:pPr>
              <w:shd w:val="clear"/>
              <w:autoSpaceDE w:val="0"/>
              <w:spacing w:after="0" w:line="240" w:lineRule="auto"/>
              <w:jc w:val="center"/>
              <w:textAlignment w:val="baseline"/>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合价</w:t>
            </w:r>
            <w:r>
              <w:rPr>
                <w:rFonts w:hint="eastAsia" w:ascii="宋体" w:hAnsi="宋体" w:cs="宋体"/>
                <w:color w:val="auto"/>
                <w:sz w:val="22"/>
                <w:szCs w:val="22"/>
                <w:highlight w:val="none"/>
                <w:lang w:val="en-US" w:eastAsia="zh-CN"/>
              </w:rPr>
              <w:t>(元)</w:t>
            </w:r>
          </w:p>
        </w:tc>
      </w:tr>
      <w:tr w14:paraId="71583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4913" w:type="pct"/>
            <w:gridSpan w:val="7"/>
            <w:noWrap w:val="0"/>
            <w:vAlign w:val="center"/>
          </w:tcPr>
          <w:p w14:paraId="7308A869">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left"/>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一、日常喷放及巡检保养</w:t>
            </w:r>
          </w:p>
        </w:tc>
      </w:tr>
      <w:tr w14:paraId="3BBD0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4D0232A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605" w:type="pct"/>
            <w:noWrap w:val="0"/>
            <w:vAlign w:val="center"/>
          </w:tcPr>
          <w:p w14:paraId="736C5FC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操作人员工资</w:t>
            </w:r>
          </w:p>
        </w:tc>
        <w:tc>
          <w:tcPr>
            <w:tcW w:w="2361" w:type="pct"/>
            <w:noWrap w:val="0"/>
            <w:vAlign w:val="center"/>
          </w:tcPr>
          <w:p w14:paraId="5244B37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操作人员工日计算。每年5月1日至10月30日，每个人共计184个工日，2个人共368工日。</w:t>
            </w:r>
          </w:p>
        </w:tc>
        <w:tc>
          <w:tcPr>
            <w:tcW w:w="301" w:type="pct"/>
            <w:noWrap w:val="0"/>
            <w:vAlign w:val="center"/>
          </w:tcPr>
          <w:p w14:paraId="48B1A2E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工日</w:t>
            </w:r>
          </w:p>
        </w:tc>
        <w:tc>
          <w:tcPr>
            <w:tcW w:w="369" w:type="pct"/>
            <w:noWrap w:val="0"/>
            <w:vAlign w:val="center"/>
          </w:tcPr>
          <w:p w14:paraId="651B41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368</w:t>
            </w:r>
          </w:p>
        </w:tc>
        <w:tc>
          <w:tcPr>
            <w:tcW w:w="490" w:type="pct"/>
            <w:noWrap w:val="0"/>
            <w:vAlign w:val="center"/>
          </w:tcPr>
          <w:p w14:paraId="10C420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37F3C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2646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1CDD6C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605" w:type="pct"/>
            <w:noWrap w:val="0"/>
            <w:vAlign w:val="center"/>
          </w:tcPr>
          <w:p w14:paraId="0D6559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节假日及接待活动保障人员工资</w:t>
            </w:r>
          </w:p>
        </w:tc>
        <w:tc>
          <w:tcPr>
            <w:tcW w:w="2361" w:type="pct"/>
            <w:noWrap w:val="0"/>
            <w:vAlign w:val="center"/>
          </w:tcPr>
          <w:p w14:paraId="17E599F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劳动节（3天）、国庆节（7天）等国家相关节日以及接待活动（每月2次）等，保障人员工资；（保障人员不低于2人）</w:t>
            </w:r>
          </w:p>
        </w:tc>
        <w:tc>
          <w:tcPr>
            <w:tcW w:w="301" w:type="pct"/>
            <w:noWrap w:val="0"/>
            <w:vAlign w:val="center"/>
          </w:tcPr>
          <w:p w14:paraId="2CD184A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工日</w:t>
            </w:r>
          </w:p>
        </w:tc>
        <w:tc>
          <w:tcPr>
            <w:tcW w:w="369" w:type="pct"/>
            <w:noWrap w:val="0"/>
            <w:vAlign w:val="center"/>
          </w:tcPr>
          <w:p w14:paraId="6DA3AA1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44</w:t>
            </w:r>
          </w:p>
        </w:tc>
        <w:tc>
          <w:tcPr>
            <w:tcW w:w="490" w:type="pct"/>
            <w:noWrap w:val="0"/>
            <w:vAlign w:val="center"/>
          </w:tcPr>
          <w:p w14:paraId="043E180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16D4ADE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11DC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CF5377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605" w:type="pct"/>
            <w:noWrap w:val="0"/>
            <w:vAlign w:val="center"/>
          </w:tcPr>
          <w:p w14:paraId="20F6B83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一维数控DN65养护</w:t>
            </w:r>
          </w:p>
        </w:tc>
        <w:tc>
          <w:tcPr>
            <w:tcW w:w="2361" w:type="pct"/>
            <w:noWrap w:val="0"/>
            <w:vAlign w:val="center"/>
          </w:tcPr>
          <w:p w14:paraId="693D683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一维数控DN65养护包含：</w:t>
            </w:r>
          </w:p>
          <w:p w14:paraId="4675F97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1.每天一次一维数控检查、调试（线路、电机、角度等检查及调试）</w:t>
            </w:r>
          </w:p>
          <w:p w14:paraId="4F2E845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2.每月一次大检查（检查机组有无损失、紧固件有无松动、电缆有无损伤）</w:t>
            </w:r>
          </w:p>
        </w:tc>
        <w:tc>
          <w:tcPr>
            <w:tcW w:w="301" w:type="pct"/>
            <w:noWrap w:val="0"/>
            <w:vAlign w:val="center"/>
          </w:tcPr>
          <w:p w14:paraId="6D05FB1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2C8243A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315</w:t>
            </w:r>
          </w:p>
        </w:tc>
        <w:tc>
          <w:tcPr>
            <w:tcW w:w="490" w:type="pct"/>
            <w:noWrap w:val="0"/>
            <w:vAlign w:val="center"/>
          </w:tcPr>
          <w:p w14:paraId="0CD7AAF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238AE0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306B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0ADFFC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605" w:type="pct"/>
            <w:noWrap w:val="0"/>
            <w:vAlign w:val="center"/>
          </w:tcPr>
          <w:p w14:paraId="7CAA3C7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驱动器养护</w:t>
            </w:r>
          </w:p>
        </w:tc>
        <w:tc>
          <w:tcPr>
            <w:tcW w:w="2361" w:type="pct"/>
            <w:noWrap w:val="0"/>
            <w:vAlign w:val="center"/>
          </w:tcPr>
          <w:p w14:paraId="164996A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驱动器养护包含：</w:t>
            </w:r>
          </w:p>
          <w:p w14:paraId="3733F7A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1.每天一次驱动器检查、调试（线路、驱动器信号、复位等检查及调试）</w:t>
            </w:r>
          </w:p>
          <w:p w14:paraId="51F9E06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2.每月一次大检查（检查驱动器有无损失、接头有无松动、电缆有无损伤）</w:t>
            </w:r>
          </w:p>
        </w:tc>
        <w:tc>
          <w:tcPr>
            <w:tcW w:w="301" w:type="pct"/>
            <w:noWrap w:val="0"/>
            <w:vAlign w:val="center"/>
          </w:tcPr>
          <w:p w14:paraId="17030F6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774C3DE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315</w:t>
            </w:r>
          </w:p>
        </w:tc>
        <w:tc>
          <w:tcPr>
            <w:tcW w:w="490" w:type="pct"/>
            <w:noWrap w:val="0"/>
            <w:vAlign w:val="center"/>
          </w:tcPr>
          <w:p w14:paraId="152D91D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5B9E56E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527C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4A5717E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605" w:type="pct"/>
            <w:noWrap w:val="0"/>
            <w:vAlign w:val="center"/>
          </w:tcPr>
          <w:p w14:paraId="5018A28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气爆装置养护</w:t>
            </w:r>
          </w:p>
        </w:tc>
        <w:tc>
          <w:tcPr>
            <w:tcW w:w="2361" w:type="pct"/>
            <w:noWrap w:val="0"/>
            <w:vAlign w:val="center"/>
          </w:tcPr>
          <w:p w14:paraId="291D533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气爆装置养护包含：</w:t>
            </w:r>
          </w:p>
          <w:p w14:paraId="058179C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1.每天一次管道压力检查测试；</w:t>
            </w:r>
          </w:p>
          <w:p w14:paraId="2E036B2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2.气爆装置检查；（检查气爆有无倾倒、有无松动、阀板偏心等情况）</w:t>
            </w:r>
          </w:p>
          <w:p w14:paraId="7BADBB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3.气爆喷放是否垂直等检查；</w:t>
            </w:r>
          </w:p>
          <w:p w14:paraId="70C9903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4.设备除锈、清理。</w:t>
            </w:r>
          </w:p>
        </w:tc>
        <w:tc>
          <w:tcPr>
            <w:tcW w:w="301" w:type="pct"/>
            <w:noWrap w:val="0"/>
            <w:vAlign w:val="center"/>
          </w:tcPr>
          <w:p w14:paraId="0309AFD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B08C99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171</w:t>
            </w:r>
          </w:p>
        </w:tc>
        <w:tc>
          <w:tcPr>
            <w:tcW w:w="490" w:type="pct"/>
            <w:noWrap w:val="0"/>
            <w:vAlign w:val="center"/>
          </w:tcPr>
          <w:p w14:paraId="0E42919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3528208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FBDC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2BB1050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w:t>
            </w:r>
          </w:p>
        </w:tc>
        <w:tc>
          <w:tcPr>
            <w:tcW w:w="605" w:type="pct"/>
            <w:noWrap w:val="0"/>
            <w:vAlign w:val="center"/>
          </w:tcPr>
          <w:p w14:paraId="7DAE486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阀门检查接线多通电磁阀</w:t>
            </w:r>
          </w:p>
        </w:tc>
        <w:tc>
          <w:tcPr>
            <w:tcW w:w="2361" w:type="pct"/>
            <w:noWrap w:val="0"/>
            <w:vAlign w:val="center"/>
          </w:tcPr>
          <w:p w14:paraId="73B517C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电磁阀养护包含：</w:t>
            </w:r>
          </w:p>
          <w:p w14:paraId="16AF87F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1.每天一次检查（包含电磁阀开启是否正常，是否有泄露、电磁阀膜片是否有异常等情况）；</w:t>
            </w:r>
          </w:p>
          <w:p w14:paraId="1EBF6D9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w:t>
            </w:r>
          </w:p>
        </w:tc>
        <w:tc>
          <w:tcPr>
            <w:tcW w:w="301" w:type="pct"/>
            <w:noWrap w:val="0"/>
            <w:vAlign w:val="center"/>
          </w:tcPr>
          <w:p w14:paraId="6B02EC5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7DBB71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181</w:t>
            </w:r>
          </w:p>
        </w:tc>
        <w:tc>
          <w:tcPr>
            <w:tcW w:w="490" w:type="pct"/>
            <w:noWrap w:val="0"/>
            <w:vAlign w:val="center"/>
          </w:tcPr>
          <w:p w14:paraId="4C081A9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19D8B29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52FF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351B8CE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w:t>
            </w:r>
          </w:p>
        </w:tc>
        <w:tc>
          <w:tcPr>
            <w:tcW w:w="605" w:type="pct"/>
            <w:noWrap w:val="0"/>
            <w:vAlign w:val="center"/>
          </w:tcPr>
          <w:p w14:paraId="648CFF3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空压机保养</w:t>
            </w:r>
          </w:p>
        </w:tc>
        <w:tc>
          <w:tcPr>
            <w:tcW w:w="2361" w:type="pct"/>
            <w:noWrap w:val="0"/>
            <w:vAlign w:val="center"/>
          </w:tcPr>
          <w:p w14:paraId="0A3058F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空压机保养包含：</w:t>
            </w:r>
          </w:p>
          <w:p w14:paraId="2500A90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1.每天检查空压机是否已开启，是否达到工作压力；</w:t>
            </w:r>
          </w:p>
          <w:p w14:paraId="3F83E16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2.机器运作是否有异响，机油等消耗材料准备充实，及时保养；</w:t>
            </w:r>
          </w:p>
        </w:tc>
        <w:tc>
          <w:tcPr>
            <w:tcW w:w="301" w:type="pct"/>
            <w:noWrap w:val="0"/>
            <w:vAlign w:val="center"/>
          </w:tcPr>
          <w:p w14:paraId="014221D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1633081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490" w:type="pct"/>
            <w:noWrap w:val="0"/>
            <w:vAlign w:val="center"/>
          </w:tcPr>
          <w:p w14:paraId="4224A2D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F694FE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3A54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22364D1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w:t>
            </w:r>
          </w:p>
        </w:tc>
        <w:tc>
          <w:tcPr>
            <w:tcW w:w="605" w:type="pct"/>
            <w:noWrap w:val="0"/>
            <w:vAlign w:val="center"/>
          </w:tcPr>
          <w:p w14:paraId="56BD0B9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水膜养护</w:t>
            </w:r>
          </w:p>
        </w:tc>
        <w:tc>
          <w:tcPr>
            <w:tcW w:w="2361" w:type="pct"/>
            <w:noWrap w:val="0"/>
            <w:vAlign w:val="center"/>
          </w:tcPr>
          <w:p w14:paraId="43229E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水膜养护包含：</w:t>
            </w:r>
          </w:p>
          <w:p w14:paraId="1B3F116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1.水膜喷头进行调整；</w:t>
            </w:r>
          </w:p>
          <w:p w14:paraId="471C6C1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2.水膜喷头每周一次清理及调试；</w:t>
            </w:r>
          </w:p>
        </w:tc>
        <w:tc>
          <w:tcPr>
            <w:tcW w:w="301" w:type="pct"/>
            <w:noWrap w:val="0"/>
            <w:vAlign w:val="center"/>
          </w:tcPr>
          <w:p w14:paraId="28D61E1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个</w:t>
            </w:r>
          </w:p>
        </w:tc>
        <w:tc>
          <w:tcPr>
            <w:tcW w:w="369" w:type="pct"/>
            <w:noWrap w:val="0"/>
            <w:vAlign w:val="center"/>
          </w:tcPr>
          <w:p w14:paraId="719FDA4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90" w:type="pct"/>
            <w:noWrap w:val="0"/>
            <w:vAlign w:val="center"/>
          </w:tcPr>
          <w:p w14:paraId="25E8CF6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2A0CC7C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9E10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416DA8D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9</w:t>
            </w:r>
          </w:p>
        </w:tc>
        <w:tc>
          <w:tcPr>
            <w:tcW w:w="605" w:type="pct"/>
            <w:noWrap w:val="0"/>
            <w:vAlign w:val="center"/>
          </w:tcPr>
          <w:p w14:paraId="107664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w:t>
            </w:r>
          </w:p>
        </w:tc>
        <w:tc>
          <w:tcPr>
            <w:tcW w:w="2361" w:type="pct"/>
            <w:noWrap w:val="0"/>
            <w:vAlign w:val="center"/>
          </w:tcPr>
          <w:p w14:paraId="1ADD2DD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水泵5.5KW养护包含：1.日常喷泉检查；（进行启动检测，对锈死无法启动的的水泵采用敲打震荡、盘轴、电流冲击等方式对其进行恢复启动。)</w:t>
            </w:r>
          </w:p>
          <w:p w14:paraId="5388C56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2D32021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69FF89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67185EF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571F2D1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3DF71EB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366</w:t>
            </w:r>
          </w:p>
        </w:tc>
        <w:tc>
          <w:tcPr>
            <w:tcW w:w="490" w:type="pct"/>
            <w:noWrap w:val="0"/>
            <w:vAlign w:val="center"/>
          </w:tcPr>
          <w:p w14:paraId="4E76452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5C2CB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B07D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2495E99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605" w:type="pct"/>
            <w:noWrap w:val="0"/>
            <w:vAlign w:val="center"/>
          </w:tcPr>
          <w:p w14:paraId="3494216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水泵3KW养护</w:t>
            </w:r>
          </w:p>
        </w:tc>
        <w:tc>
          <w:tcPr>
            <w:tcW w:w="2361" w:type="pct"/>
            <w:noWrap w:val="0"/>
            <w:vAlign w:val="center"/>
          </w:tcPr>
          <w:p w14:paraId="45B2229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水泵3KW养护包含：</w:t>
            </w:r>
          </w:p>
          <w:p w14:paraId="4FA4871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680CF4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7E6D5B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5A63AB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0D38719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0BBE6A2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2B6159D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48</w:t>
            </w:r>
          </w:p>
        </w:tc>
        <w:tc>
          <w:tcPr>
            <w:tcW w:w="490" w:type="pct"/>
            <w:noWrap w:val="0"/>
            <w:vAlign w:val="center"/>
          </w:tcPr>
          <w:p w14:paraId="062DB2D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7744E0B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1E9A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79F45CE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11</w:t>
            </w:r>
          </w:p>
        </w:tc>
        <w:tc>
          <w:tcPr>
            <w:tcW w:w="605" w:type="pct"/>
            <w:noWrap w:val="0"/>
            <w:vAlign w:val="center"/>
          </w:tcPr>
          <w:p w14:paraId="1A86CB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水泵1.1KW养护</w:t>
            </w:r>
          </w:p>
        </w:tc>
        <w:tc>
          <w:tcPr>
            <w:tcW w:w="2361" w:type="pct"/>
            <w:noWrap w:val="0"/>
            <w:vAlign w:val="center"/>
          </w:tcPr>
          <w:p w14:paraId="1585712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水泵1.1KW养护包含：</w:t>
            </w:r>
          </w:p>
          <w:p w14:paraId="6AD5475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7116D7A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57CFCE8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4205D0E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48F919B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17C488D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1C21BF8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90" w:type="pct"/>
            <w:noWrap w:val="0"/>
            <w:vAlign w:val="center"/>
          </w:tcPr>
          <w:p w14:paraId="5C9AFB1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28B5DF3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1FEB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04BF4A4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w:t>
            </w:r>
          </w:p>
        </w:tc>
        <w:tc>
          <w:tcPr>
            <w:tcW w:w="605" w:type="pct"/>
            <w:noWrap w:val="0"/>
            <w:vAlign w:val="center"/>
          </w:tcPr>
          <w:p w14:paraId="1D6AD69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水泵37KW养护</w:t>
            </w:r>
          </w:p>
        </w:tc>
        <w:tc>
          <w:tcPr>
            <w:tcW w:w="2361" w:type="pct"/>
            <w:noWrap w:val="0"/>
            <w:vAlign w:val="center"/>
          </w:tcPr>
          <w:p w14:paraId="5596BFD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水泵37KW养护包含：</w:t>
            </w:r>
          </w:p>
          <w:p w14:paraId="76D061F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26CEEAB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24E2C34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64E7AE3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0948530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6D36CC6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1B18D6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90" w:type="pct"/>
            <w:noWrap w:val="0"/>
            <w:vAlign w:val="center"/>
          </w:tcPr>
          <w:p w14:paraId="3236FF9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0EDE0D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3CD3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6DFFD22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13</w:t>
            </w:r>
          </w:p>
        </w:tc>
        <w:tc>
          <w:tcPr>
            <w:tcW w:w="605" w:type="pct"/>
            <w:noWrap w:val="0"/>
            <w:vAlign w:val="center"/>
          </w:tcPr>
          <w:p w14:paraId="0BA621C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w:t>
            </w:r>
          </w:p>
        </w:tc>
        <w:tc>
          <w:tcPr>
            <w:tcW w:w="2361" w:type="pct"/>
            <w:noWrap w:val="0"/>
            <w:vAlign w:val="center"/>
          </w:tcPr>
          <w:p w14:paraId="12EBBA1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水泵55KW养护包含：</w:t>
            </w:r>
          </w:p>
          <w:p w14:paraId="35C5E5D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520AFF0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2F08D25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2DB6537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42E943B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2AB1A1C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78A57E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90" w:type="pct"/>
            <w:noWrap w:val="0"/>
            <w:vAlign w:val="center"/>
          </w:tcPr>
          <w:p w14:paraId="7C99D90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5ABB5C7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456D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214BF58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14</w:t>
            </w:r>
          </w:p>
        </w:tc>
        <w:tc>
          <w:tcPr>
            <w:tcW w:w="605" w:type="pct"/>
            <w:noWrap w:val="0"/>
            <w:vAlign w:val="center"/>
          </w:tcPr>
          <w:p w14:paraId="7562C42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排污泵5.5KW养护</w:t>
            </w:r>
          </w:p>
        </w:tc>
        <w:tc>
          <w:tcPr>
            <w:tcW w:w="2361" w:type="pct"/>
            <w:noWrap w:val="0"/>
            <w:vAlign w:val="center"/>
          </w:tcPr>
          <w:p w14:paraId="6B52D09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排污泵5.5KW养护包含：</w:t>
            </w:r>
          </w:p>
          <w:p w14:paraId="27EB352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40183FD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6C03B0B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61B1929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6173296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1577E28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25BF24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490" w:type="pct"/>
            <w:noWrap w:val="0"/>
            <w:vAlign w:val="center"/>
          </w:tcPr>
          <w:p w14:paraId="0A3C430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59276D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2459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78C9707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w:t>
            </w:r>
          </w:p>
        </w:tc>
        <w:tc>
          <w:tcPr>
            <w:tcW w:w="605" w:type="pct"/>
            <w:noWrap w:val="0"/>
            <w:vAlign w:val="center"/>
          </w:tcPr>
          <w:p w14:paraId="5A6D0D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导水泵5.5KW养护</w:t>
            </w:r>
          </w:p>
        </w:tc>
        <w:tc>
          <w:tcPr>
            <w:tcW w:w="2361" w:type="pct"/>
            <w:noWrap w:val="0"/>
            <w:vAlign w:val="center"/>
          </w:tcPr>
          <w:p w14:paraId="1B9229A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导水泵5.5KW养护包含：</w:t>
            </w:r>
          </w:p>
          <w:p w14:paraId="18A6B42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295C851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5BA8BBE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3FE8A6C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7023081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45ADC0D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447ABEB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490" w:type="pct"/>
            <w:noWrap w:val="0"/>
            <w:vAlign w:val="center"/>
          </w:tcPr>
          <w:p w14:paraId="6BBC089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49B335C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C73A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7ED9891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605" w:type="pct"/>
            <w:noWrap w:val="0"/>
            <w:vAlign w:val="center"/>
          </w:tcPr>
          <w:p w14:paraId="16D189E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LED水下灯125W养护</w:t>
            </w:r>
          </w:p>
        </w:tc>
        <w:tc>
          <w:tcPr>
            <w:tcW w:w="2361" w:type="pct"/>
            <w:noWrap w:val="0"/>
            <w:vAlign w:val="center"/>
          </w:tcPr>
          <w:p w14:paraId="03CFD0A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LED水下灯125W养护包含：</w:t>
            </w:r>
          </w:p>
          <w:p w14:paraId="468BC80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1.每天检查水下灯灯光亮度及颜色是否正常，水下灯是否有缺色、不亮、坏点等状态；</w:t>
            </w:r>
          </w:p>
          <w:p w14:paraId="347ACF5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2.灯具表面清理；</w:t>
            </w:r>
          </w:p>
          <w:p w14:paraId="57B4252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4E0DFE5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p w14:paraId="703278C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5.喷泉水下灯紧固松动的螺丝，避免灯体进水造成短路故障。</w:t>
            </w:r>
          </w:p>
        </w:tc>
        <w:tc>
          <w:tcPr>
            <w:tcW w:w="301" w:type="pct"/>
            <w:noWrap w:val="0"/>
            <w:vAlign w:val="center"/>
          </w:tcPr>
          <w:p w14:paraId="04D987D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10套</w:t>
            </w:r>
          </w:p>
        </w:tc>
        <w:tc>
          <w:tcPr>
            <w:tcW w:w="369" w:type="pct"/>
            <w:noWrap w:val="0"/>
            <w:vAlign w:val="center"/>
          </w:tcPr>
          <w:p w14:paraId="2F42AD1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277.6</w:t>
            </w:r>
          </w:p>
        </w:tc>
        <w:tc>
          <w:tcPr>
            <w:tcW w:w="490" w:type="pct"/>
            <w:noWrap w:val="0"/>
            <w:vAlign w:val="center"/>
          </w:tcPr>
          <w:p w14:paraId="1E3F19E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3A401E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AA7F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5A54177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w:t>
            </w:r>
          </w:p>
        </w:tc>
        <w:tc>
          <w:tcPr>
            <w:tcW w:w="605" w:type="pct"/>
            <w:noWrap w:val="0"/>
            <w:vAlign w:val="center"/>
          </w:tcPr>
          <w:p w14:paraId="0635C4D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计算机系统硬件检查试验工控计算机</w:t>
            </w:r>
          </w:p>
        </w:tc>
        <w:tc>
          <w:tcPr>
            <w:tcW w:w="2361" w:type="pct"/>
            <w:noWrap w:val="0"/>
            <w:vAlign w:val="center"/>
          </w:tcPr>
          <w:p w14:paraId="51E009A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控制系统养护包含：</w:t>
            </w:r>
          </w:p>
          <w:p w14:paraId="397121C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1.控制软件及硬件是否运行正常，检查线路、信号是否正常；</w:t>
            </w:r>
          </w:p>
          <w:p w14:paraId="6F6BD4A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2.保证电脑设备、控制软件系统正常运转。</w:t>
            </w:r>
          </w:p>
          <w:p w14:paraId="79B156F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3.备用主机在运行状态，喷泉程序开启，（备用电脑主机应保持可随时开启）若喷泉运行主机出现故障可以保证随时切换至备用主机。</w:t>
            </w:r>
          </w:p>
        </w:tc>
        <w:tc>
          <w:tcPr>
            <w:tcW w:w="301" w:type="pct"/>
            <w:noWrap w:val="0"/>
            <w:vAlign w:val="center"/>
          </w:tcPr>
          <w:p w14:paraId="6044F3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c>
          <w:tcPr>
            <w:tcW w:w="369" w:type="pct"/>
            <w:noWrap w:val="0"/>
            <w:vAlign w:val="center"/>
          </w:tcPr>
          <w:p w14:paraId="697D496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90" w:type="pct"/>
            <w:noWrap w:val="0"/>
            <w:vAlign w:val="center"/>
          </w:tcPr>
          <w:p w14:paraId="139FAEC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37CA2FE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21D9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3AFBB69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w:t>
            </w:r>
          </w:p>
        </w:tc>
        <w:tc>
          <w:tcPr>
            <w:tcW w:w="605" w:type="pct"/>
            <w:noWrap w:val="0"/>
            <w:vAlign w:val="center"/>
          </w:tcPr>
          <w:p w14:paraId="52AC018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投影设备配电柜养护</w:t>
            </w:r>
          </w:p>
        </w:tc>
        <w:tc>
          <w:tcPr>
            <w:tcW w:w="2361" w:type="pct"/>
            <w:noWrap w:val="0"/>
            <w:vAlign w:val="center"/>
          </w:tcPr>
          <w:p w14:paraId="1ADA37E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投影设备配电柜养护包含：</w:t>
            </w:r>
          </w:p>
          <w:p w14:paraId="481A0B9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1.控制柜内电气元件检查及维护；</w:t>
            </w:r>
          </w:p>
          <w:p w14:paraId="466F185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2.制室柜内不得私自乱接用电器和乱拉电线；</w:t>
            </w:r>
          </w:p>
          <w:p w14:paraId="3318FB6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3.检查配电柜三相电源是否正常。</w:t>
            </w:r>
          </w:p>
          <w:p w14:paraId="65C8181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4.检查控制柜状态是否正常，各分路空开是否已开启。</w:t>
            </w:r>
          </w:p>
          <w:p w14:paraId="781A0CB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5.各仪表盘读数是否有过载、过流、过压欠压等不正常现象，保证设备处于正常状态；</w:t>
            </w:r>
          </w:p>
        </w:tc>
        <w:tc>
          <w:tcPr>
            <w:tcW w:w="301" w:type="pct"/>
            <w:noWrap w:val="0"/>
            <w:vAlign w:val="center"/>
          </w:tcPr>
          <w:p w14:paraId="4F2443D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6735D4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90" w:type="pct"/>
            <w:noWrap w:val="0"/>
            <w:vAlign w:val="center"/>
          </w:tcPr>
          <w:p w14:paraId="3158ACF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443F887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82E1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3A5D39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19</w:t>
            </w:r>
          </w:p>
        </w:tc>
        <w:tc>
          <w:tcPr>
            <w:tcW w:w="605" w:type="pct"/>
            <w:noWrap w:val="0"/>
            <w:vAlign w:val="center"/>
          </w:tcPr>
          <w:p w14:paraId="4832A5A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喷泉控制柜养护</w:t>
            </w:r>
          </w:p>
        </w:tc>
        <w:tc>
          <w:tcPr>
            <w:tcW w:w="2361" w:type="pct"/>
            <w:noWrap w:val="0"/>
            <w:vAlign w:val="center"/>
          </w:tcPr>
          <w:p w14:paraId="6A264D0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喷泉控制柜养护包含：</w:t>
            </w:r>
          </w:p>
          <w:p w14:paraId="6EFE377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1.控制柜内电气元件检查及维护；</w:t>
            </w:r>
          </w:p>
          <w:p w14:paraId="3202BF7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2.制室柜内不得私自乱接用电器和乱拉电线；</w:t>
            </w:r>
          </w:p>
          <w:p w14:paraId="40D5204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3.检查配电柜三相电源是否正常。</w:t>
            </w:r>
          </w:p>
          <w:p w14:paraId="52CACAF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4.检查控制柜状态是否正常，各分路空开是否已开启。</w:t>
            </w:r>
          </w:p>
          <w:p w14:paraId="13EA93F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5.各仪表盘读数是否有过载、过流、过压欠压等不正常现象，保证设备处于正常状态；</w:t>
            </w:r>
          </w:p>
        </w:tc>
        <w:tc>
          <w:tcPr>
            <w:tcW w:w="301" w:type="pct"/>
            <w:noWrap w:val="0"/>
            <w:vAlign w:val="center"/>
          </w:tcPr>
          <w:p w14:paraId="370DA5A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3C01B9C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100</w:t>
            </w:r>
          </w:p>
        </w:tc>
        <w:tc>
          <w:tcPr>
            <w:tcW w:w="490" w:type="pct"/>
            <w:noWrap w:val="0"/>
            <w:vAlign w:val="center"/>
          </w:tcPr>
          <w:p w14:paraId="6F7DD42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4017A5B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F76B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1D53AC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20</w:t>
            </w:r>
          </w:p>
        </w:tc>
        <w:tc>
          <w:tcPr>
            <w:tcW w:w="605" w:type="pct"/>
            <w:noWrap w:val="0"/>
            <w:vAlign w:val="center"/>
          </w:tcPr>
          <w:p w14:paraId="4C8AF1C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w:t>
            </w:r>
          </w:p>
        </w:tc>
        <w:tc>
          <w:tcPr>
            <w:tcW w:w="2361" w:type="pct"/>
            <w:noWrap w:val="0"/>
            <w:vAlign w:val="center"/>
          </w:tcPr>
          <w:p w14:paraId="333C760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变频器75KW养护包含：</w:t>
            </w:r>
          </w:p>
          <w:p w14:paraId="5596FFC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1F0C25B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3651216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65461AD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6D612E2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90" w:type="pct"/>
            <w:noWrap w:val="0"/>
            <w:vAlign w:val="center"/>
          </w:tcPr>
          <w:p w14:paraId="21770CD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F9F7CD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E2EF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248D0D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21</w:t>
            </w:r>
          </w:p>
        </w:tc>
        <w:tc>
          <w:tcPr>
            <w:tcW w:w="605" w:type="pct"/>
            <w:noWrap w:val="0"/>
            <w:vAlign w:val="center"/>
          </w:tcPr>
          <w:p w14:paraId="798C407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变频器45KW养护</w:t>
            </w:r>
          </w:p>
        </w:tc>
        <w:tc>
          <w:tcPr>
            <w:tcW w:w="2361" w:type="pct"/>
            <w:noWrap w:val="0"/>
            <w:vAlign w:val="center"/>
          </w:tcPr>
          <w:p w14:paraId="5409F8F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变频器45KW养护包含：</w:t>
            </w:r>
          </w:p>
          <w:p w14:paraId="273851A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77AC15A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5E68DD2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129A158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1684B3A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90" w:type="pct"/>
            <w:noWrap w:val="0"/>
            <w:vAlign w:val="center"/>
          </w:tcPr>
          <w:p w14:paraId="2C17F32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144340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1EC5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0BEAF11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22</w:t>
            </w:r>
          </w:p>
        </w:tc>
        <w:tc>
          <w:tcPr>
            <w:tcW w:w="605" w:type="pct"/>
            <w:noWrap w:val="0"/>
            <w:vAlign w:val="center"/>
          </w:tcPr>
          <w:p w14:paraId="5C0B79F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w:t>
            </w:r>
          </w:p>
        </w:tc>
        <w:tc>
          <w:tcPr>
            <w:tcW w:w="2361" w:type="pct"/>
            <w:noWrap w:val="0"/>
            <w:vAlign w:val="center"/>
          </w:tcPr>
          <w:p w14:paraId="03C3B5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变频器7.5KW养护包含：</w:t>
            </w:r>
          </w:p>
          <w:p w14:paraId="7C968E0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7FC2AC7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6D1B40E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1170B71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781B0E7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346</w:t>
            </w:r>
          </w:p>
        </w:tc>
        <w:tc>
          <w:tcPr>
            <w:tcW w:w="490" w:type="pct"/>
            <w:noWrap w:val="0"/>
            <w:vAlign w:val="center"/>
          </w:tcPr>
          <w:p w14:paraId="79C3B28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2D930F1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F7B9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3F8C0A4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w:t>
            </w:r>
          </w:p>
        </w:tc>
        <w:tc>
          <w:tcPr>
            <w:tcW w:w="605" w:type="pct"/>
            <w:noWrap w:val="0"/>
            <w:vAlign w:val="center"/>
          </w:tcPr>
          <w:p w14:paraId="5F9012F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变频器4KW养护</w:t>
            </w:r>
          </w:p>
        </w:tc>
        <w:tc>
          <w:tcPr>
            <w:tcW w:w="2361" w:type="pct"/>
            <w:noWrap w:val="0"/>
            <w:vAlign w:val="center"/>
          </w:tcPr>
          <w:p w14:paraId="0972CBD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变频器4KW养护包含：</w:t>
            </w:r>
          </w:p>
          <w:p w14:paraId="3FF3842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27FB4DE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0718A21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3644759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21A6D63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48</w:t>
            </w:r>
          </w:p>
        </w:tc>
        <w:tc>
          <w:tcPr>
            <w:tcW w:w="490" w:type="pct"/>
            <w:noWrap w:val="0"/>
            <w:vAlign w:val="center"/>
          </w:tcPr>
          <w:p w14:paraId="5F9A2C1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99BC9B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B20E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419A3BA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w:t>
            </w:r>
          </w:p>
        </w:tc>
        <w:tc>
          <w:tcPr>
            <w:tcW w:w="605" w:type="pct"/>
            <w:noWrap w:val="0"/>
            <w:vAlign w:val="center"/>
          </w:tcPr>
          <w:p w14:paraId="23A237F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变频器3KW养护</w:t>
            </w:r>
          </w:p>
        </w:tc>
        <w:tc>
          <w:tcPr>
            <w:tcW w:w="2361" w:type="pct"/>
            <w:noWrap w:val="0"/>
            <w:vAlign w:val="center"/>
          </w:tcPr>
          <w:p w14:paraId="0D44D7C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变频器3KW养护包含：</w:t>
            </w:r>
          </w:p>
          <w:p w14:paraId="3811E50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7974BA5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6AC9A27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4FEE1F5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0A0D45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90" w:type="pct"/>
            <w:noWrap w:val="0"/>
            <w:vAlign w:val="center"/>
          </w:tcPr>
          <w:p w14:paraId="7AF55B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C6416C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D240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3C61CA4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w:t>
            </w:r>
          </w:p>
        </w:tc>
        <w:tc>
          <w:tcPr>
            <w:tcW w:w="605" w:type="pct"/>
            <w:noWrap w:val="0"/>
            <w:vAlign w:val="center"/>
          </w:tcPr>
          <w:p w14:paraId="0052121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高压软管DN40</w:t>
            </w:r>
          </w:p>
        </w:tc>
        <w:tc>
          <w:tcPr>
            <w:tcW w:w="2361" w:type="pct"/>
            <w:noWrap w:val="0"/>
            <w:vAlign w:val="center"/>
          </w:tcPr>
          <w:p w14:paraId="07C2F08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高压软管养护包含：</w:t>
            </w:r>
          </w:p>
          <w:p w14:paraId="640881C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1.每天一次检查（包含是否有泄露、丝扣是否有异常等情况），是否达到工作压力；</w:t>
            </w:r>
          </w:p>
          <w:p w14:paraId="04DA684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w:t>
            </w:r>
          </w:p>
          <w:p w14:paraId="534463C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2E251C4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根</w:t>
            </w:r>
          </w:p>
        </w:tc>
        <w:tc>
          <w:tcPr>
            <w:tcW w:w="369" w:type="pct"/>
            <w:noWrap w:val="0"/>
            <w:vAlign w:val="center"/>
          </w:tcPr>
          <w:p w14:paraId="0BC8747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238</w:t>
            </w:r>
          </w:p>
        </w:tc>
        <w:tc>
          <w:tcPr>
            <w:tcW w:w="490" w:type="pct"/>
            <w:noWrap w:val="0"/>
            <w:vAlign w:val="center"/>
          </w:tcPr>
          <w:p w14:paraId="672FA96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096DE5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7A4A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C688A8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26</w:t>
            </w:r>
          </w:p>
        </w:tc>
        <w:tc>
          <w:tcPr>
            <w:tcW w:w="605" w:type="pct"/>
            <w:noWrap w:val="0"/>
            <w:vAlign w:val="center"/>
          </w:tcPr>
          <w:p w14:paraId="632DDBC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投影机养护</w:t>
            </w:r>
          </w:p>
        </w:tc>
        <w:tc>
          <w:tcPr>
            <w:tcW w:w="2361" w:type="pct"/>
            <w:noWrap w:val="0"/>
            <w:vAlign w:val="center"/>
          </w:tcPr>
          <w:p w14:paraId="700B5B7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投影机养护包含：</w:t>
            </w:r>
          </w:p>
          <w:p w14:paraId="0FBA744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1.每天检查投影机启用是否正常，能否正常出光；</w:t>
            </w:r>
          </w:p>
          <w:p w14:paraId="7A0AABF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2.出光口表面清理；</w:t>
            </w:r>
          </w:p>
          <w:p w14:paraId="72518D0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515048D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4.画面与声音基本同步；</w:t>
            </w:r>
          </w:p>
          <w:p w14:paraId="4CEC068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5.防水机箱是否密封，排风口是否正常。</w:t>
            </w:r>
          </w:p>
        </w:tc>
        <w:tc>
          <w:tcPr>
            <w:tcW w:w="301" w:type="pct"/>
            <w:noWrap w:val="0"/>
            <w:vAlign w:val="center"/>
          </w:tcPr>
          <w:p w14:paraId="3500A0C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13395D8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490" w:type="pct"/>
            <w:noWrap w:val="0"/>
            <w:vAlign w:val="center"/>
          </w:tcPr>
          <w:p w14:paraId="0CF77B2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3FE677B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60E9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trHeight w:val="90" w:hRule="atLeast"/>
          <w:jc w:val="center"/>
        </w:trPr>
        <w:tc>
          <w:tcPr>
            <w:tcW w:w="254" w:type="pct"/>
            <w:noWrap w:val="0"/>
            <w:vAlign w:val="center"/>
          </w:tcPr>
          <w:p w14:paraId="5B78E7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w:t>
            </w:r>
          </w:p>
        </w:tc>
        <w:tc>
          <w:tcPr>
            <w:tcW w:w="605" w:type="pct"/>
            <w:noWrap w:val="0"/>
            <w:vAlign w:val="center"/>
          </w:tcPr>
          <w:p w14:paraId="5FE9D24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光束灯养护</w:t>
            </w:r>
          </w:p>
        </w:tc>
        <w:tc>
          <w:tcPr>
            <w:tcW w:w="2361" w:type="pct"/>
            <w:noWrap w:val="0"/>
            <w:vAlign w:val="center"/>
          </w:tcPr>
          <w:p w14:paraId="4628C33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光束灯养护包含：</w:t>
            </w:r>
          </w:p>
          <w:p w14:paraId="2F780E5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1.每天检查光束灯灯光亮度及颜色是否正常，光束灯是否有不转、不亮等状态；</w:t>
            </w:r>
          </w:p>
          <w:p w14:paraId="5EFA2B0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2.灯具表面清理；</w:t>
            </w:r>
          </w:p>
          <w:p w14:paraId="4395196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05E32B3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tc>
        <w:tc>
          <w:tcPr>
            <w:tcW w:w="301" w:type="pct"/>
            <w:noWrap w:val="0"/>
            <w:vAlign w:val="center"/>
          </w:tcPr>
          <w:p w14:paraId="6F6AC81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c>
          <w:tcPr>
            <w:tcW w:w="369" w:type="pct"/>
            <w:noWrap w:val="0"/>
            <w:vAlign w:val="center"/>
          </w:tcPr>
          <w:p w14:paraId="219DE3C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490" w:type="pct"/>
            <w:noWrap w:val="0"/>
            <w:vAlign w:val="center"/>
          </w:tcPr>
          <w:p w14:paraId="0DE0A94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C9EDAF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E355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A57A9D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28</w:t>
            </w:r>
          </w:p>
        </w:tc>
        <w:tc>
          <w:tcPr>
            <w:tcW w:w="605" w:type="pct"/>
            <w:noWrap w:val="0"/>
            <w:vAlign w:val="center"/>
          </w:tcPr>
          <w:p w14:paraId="657DE70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激光灯养护</w:t>
            </w:r>
          </w:p>
        </w:tc>
        <w:tc>
          <w:tcPr>
            <w:tcW w:w="2361" w:type="pct"/>
            <w:noWrap w:val="0"/>
            <w:vAlign w:val="center"/>
          </w:tcPr>
          <w:p w14:paraId="7BC1F5D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激光灯养护包含：</w:t>
            </w:r>
          </w:p>
          <w:p w14:paraId="68F195C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每天检查光束灯灯光亮度及颜色是否正常，激光灯是否有不受控、不出光等状态；</w:t>
            </w:r>
          </w:p>
          <w:p w14:paraId="0B52240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2.出光口表面清理；</w:t>
            </w:r>
          </w:p>
          <w:p w14:paraId="3CF0D3D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6685A77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tc>
        <w:tc>
          <w:tcPr>
            <w:tcW w:w="301" w:type="pct"/>
            <w:noWrap w:val="0"/>
            <w:vAlign w:val="center"/>
          </w:tcPr>
          <w:p w14:paraId="49F5487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5CEFB88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90" w:type="pct"/>
            <w:noWrap w:val="0"/>
            <w:vAlign w:val="center"/>
          </w:tcPr>
          <w:p w14:paraId="3A61AEF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38CEF56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E5B1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trHeight w:val="550" w:hRule="atLeast"/>
          <w:jc w:val="center"/>
        </w:trPr>
        <w:tc>
          <w:tcPr>
            <w:tcW w:w="4913" w:type="pct"/>
            <w:gridSpan w:val="7"/>
            <w:noWrap w:val="0"/>
            <w:vAlign w:val="center"/>
          </w:tcPr>
          <w:p w14:paraId="7ACCF5C8">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left"/>
              <w:textAlignment w:val="baseline"/>
              <w:rPr>
                <w:rFonts w:hint="default"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一、</w:t>
            </w:r>
            <w:r>
              <w:rPr>
                <w:rFonts w:hint="eastAsia" w:ascii="宋体" w:hAnsi="宋体" w:eastAsia="宋体" w:cs="宋体"/>
                <w:b/>
                <w:bCs/>
                <w:color w:val="auto"/>
                <w:sz w:val="22"/>
                <w:szCs w:val="22"/>
                <w:highlight w:val="none"/>
                <w:lang w:val="en-US" w:eastAsia="zh-CN"/>
              </w:rPr>
              <w:t>日常喷放及巡检保养</w:t>
            </w:r>
            <w:r>
              <w:rPr>
                <w:rFonts w:hint="eastAsia" w:ascii="宋体" w:hAnsi="宋体" w:cs="宋体"/>
                <w:b/>
                <w:bCs/>
                <w:color w:val="auto"/>
                <w:sz w:val="22"/>
                <w:szCs w:val="22"/>
                <w:highlight w:val="none"/>
                <w:lang w:val="en-US" w:eastAsia="zh-CN"/>
              </w:rPr>
              <w:t>投标报价合计：</w:t>
            </w:r>
          </w:p>
        </w:tc>
      </w:tr>
      <w:tr w14:paraId="50B63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trHeight w:val="550" w:hRule="atLeast"/>
          <w:jc w:val="center"/>
        </w:trPr>
        <w:tc>
          <w:tcPr>
            <w:tcW w:w="4913" w:type="pct"/>
            <w:gridSpan w:val="7"/>
            <w:tcBorders>
              <w:left w:val="nil"/>
              <w:right w:val="nil"/>
            </w:tcBorders>
            <w:noWrap w:val="0"/>
            <w:vAlign w:val="center"/>
          </w:tcPr>
          <w:p w14:paraId="3ADD33BA">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left"/>
              <w:textAlignment w:val="baseline"/>
              <w:rPr>
                <w:rFonts w:hint="eastAsia" w:ascii="宋体" w:hAnsi="宋体" w:cs="宋体"/>
                <w:color w:val="auto"/>
                <w:sz w:val="22"/>
                <w:szCs w:val="22"/>
                <w:highlight w:val="none"/>
                <w:lang w:val="en-US" w:eastAsia="zh-CN"/>
              </w:rPr>
            </w:pPr>
          </w:p>
        </w:tc>
      </w:tr>
      <w:tr w14:paraId="62F6B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642A27A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序号</w:t>
            </w:r>
          </w:p>
        </w:tc>
        <w:tc>
          <w:tcPr>
            <w:tcW w:w="605" w:type="pct"/>
            <w:noWrap w:val="0"/>
            <w:vAlign w:val="center"/>
          </w:tcPr>
          <w:p w14:paraId="69BE9A7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项目名称</w:t>
            </w:r>
          </w:p>
        </w:tc>
        <w:tc>
          <w:tcPr>
            <w:tcW w:w="2361" w:type="pct"/>
            <w:noWrap w:val="0"/>
            <w:vAlign w:val="center"/>
          </w:tcPr>
          <w:p w14:paraId="6E5A594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项目特征描述</w:t>
            </w:r>
          </w:p>
        </w:tc>
        <w:tc>
          <w:tcPr>
            <w:tcW w:w="301" w:type="pct"/>
            <w:noWrap w:val="0"/>
            <w:vAlign w:val="center"/>
          </w:tcPr>
          <w:p w14:paraId="28913A4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单位</w:t>
            </w:r>
          </w:p>
        </w:tc>
        <w:tc>
          <w:tcPr>
            <w:tcW w:w="369" w:type="pct"/>
            <w:noWrap w:val="0"/>
            <w:vAlign w:val="center"/>
          </w:tcPr>
          <w:p w14:paraId="0343DB0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工程量</w:t>
            </w:r>
          </w:p>
        </w:tc>
        <w:tc>
          <w:tcPr>
            <w:tcW w:w="490" w:type="pct"/>
            <w:noWrap w:val="0"/>
            <w:vAlign w:val="center"/>
          </w:tcPr>
          <w:p w14:paraId="391F832D">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单位最高限价（元）</w:t>
            </w:r>
          </w:p>
        </w:tc>
        <w:tc>
          <w:tcPr>
            <w:tcW w:w="618" w:type="pct"/>
            <w:gridSpan w:val="2"/>
            <w:noWrap w:val="0"/>
            <w:vAlign w:val="center"/>
          </w:tcPr>
          <w:p w14:paraId="3584CA6C">
            <w:pPr>
              <w:pStyle w:val="2"/>
              <w:shd w:val="clear"/>
              <w:jc w:val="center"/>
              <w:rPr>
                <w:rFonts w:hint="default" w:eastAsia="宋体"/>
                <w:color w:val="auto"/>
                <w:highlight w:val="none"/>
                <w:lang w:val="en-US" w:eastAsia="zh-CN"/>
              </w:rPr>
            </w:pPr>
            <w:r>
              <w:rPr>
                <w:rFonts w:hint="eastAsia"/>
                <w:color w:val="auto"/>
                <w:sz w:val="22"/>
                <w:szCs w:val="22"/>
                <w:highlight w:val="none"/>
                <w:u w:val="none"/>
                <w:lang w:val="en-US" w:eastAsia="zh-CN" w:bidi="ar"/>
              </w:rPr>
              <w:t>投标单价</w:t>
            </w:r>
            <w:r>
              <w:rPr>
                <w:rFonts w:hint="eastAsia" w:cs="宋体"/>
                <w:color w:val="auto"/>
                <w:sz w:val="22"/>
                <w:szCs w:val="22"/>
                <w:highlight w:val="none"/>
                <w:u w:val="none"/>
                <w:lang w:val="en-US" w:eastAsia="zh-CN" w:bidi="ar"/>
              </w:rPr>
              <w:t>（</w:t>
            </w:r>
            <w:r>
              <w:rPr>
                <w:rFonts w:hint="eastAsia" w:ascii="宋体" w:hAnsi="宋体" w:eastAsia="宋体" w:cs="宋体"/>
                <w:color w:val="auto"/>
                <w:sz w:val="22"/>
                <w:szCs w:val="22"/>
                <w:highlight w:val="none"/>
                <w:u w:val="none"/>
                <w:lang w:val="en-US" w:eastAsia="zh-CN" w:bidi="ar"/>
              </w:rPr>
              <w:t>元）</w:t>
            </w:r>
          </w:p>
        </w:tc>
      </w:tr>
      <w:tr w14:paraId="0E73A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8"/>
            <w:noWrap w:val="0"/>
            <w:vAlign w:val="center"/>
          </w:tcPr>
          <w:p w14:paraId="6613B74F">
            <w:pPr>
              <w:widowControl/>
              <w:shd w:val="clear"/>
              <w:autoSpaceDN/>
              <w:adjustRightInd w:val="0"/>
              <w:snapToGrid w:val="0"/>
              <w:spacing w:line="240" w:lineRule="atLeast"/>
              <w:jc w:val="both"/>
              <w:textAlignment w:val="center"/>
              <w:rPr>
                <w:rFonts w:hint="eastAsia"/>
                <w:b/>
                <w:bCs/>
                <w:color w:val="auto"/>
                <w:highlight w:val="none"/>
              </w:rPr>
            </w:pPr>
            <w:r>
              <w:rPr>
                <w:rFonts w:hint="eastAsia" w:ascii="宋体" w:hAnsi="宋体" w:eastAsia="宋体" w:cs="宋体"/>
                <w:b/>
                <w:bCs/>
                <w:color w:val="auto"/>
                <w:sz w:val="22"/>
                <w:szCs w:val="22"/>
                <w:highlight w:val="none"/>
                <w:lang w:val="en-US" w:eastAsia="zh-CN"/>
              </w:rPr>
              <w:t>二、设备维修</w:t>
            </w:r>
          </w:p>
        </w:tc>
      </w:tr>
      <w:tr w14:paraId="50253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0E1995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605" w:type="pct"/>
            <w:noWrap w:val="0"/>
            <w:vAlign w:val="center"/>
          </w:tcPr>
          <w:p w14:paraId="7AFB214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喷泉水泵维修</w:t>
            </w:r>
          </w:p>
        </w:tc>
        <w:tc>
          <w:tcPr>
            <w:tcW w:w="2361" w:type="pct"/>
            <w:noWrap w:val="0"/>
            <w:vAlign w:val="center"/>
          </w:tcPr>
          <w:p w14:paraId="2C43B24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1、QS40-28-5.5水泵拆卸、人工费以及水泵不换件维修</w:t>
            </w:r>
          </w:p>
          <w:p w14:paraId="082FE6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2、QS40-28-5.5水泵维修（含技工人工费以及水泵维修）</w:t>
            </w:r>
          </w:p>
          <w:p w14:paraId="6AE644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3、安装、调试（含单体调试）</w:t>
            </w:r>
          </w:p>
        </w:tc>
        <w:tc>
          <w:tcPr>
            <w:tcW w:w="301" w:type="pct"/>
            <w:noWrap w:val="0"/>
            <w:vAlign w:val="center"/>
          </w:tcPr>
          <w:p w14:paraId="5508D57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18C99AF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w:t>
            </w:r>
          </w:p>
        </w:tc>
        <w:tc>
          <w:tcPr>
            <w:tcW w:w="490" w:type="pct"/>
            <w:noWrap w:val="0"/>
            <w:vAlign w:val="center"/>
          </w:tcPr>
          <w:p w14:paraId="29EDC567">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0EE575A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color w:val="auto"/>
                <w:highlight w:val="none"/>
              </w:rPr>
            </w:pPr>
          </w:p>
          <w:p w14:paraId="27F4A78C">
            <w:pPr>
              <w:pStyle w:val="2"/>
              <w:shd w:val="clear"/>
              <w:rPr>
                <w:rFonts w:hint="eastAsia"/>
                <w:color w:val="auto"/>
                <w:highlight w:val="none"/>
              </w:rPr>
            </w:pPr>
          </w:p>
        </w:tc>
      </w:tr>
      <w:tr w14:paraId="2CD11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253FBBB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605" w:type="pct"/>
            <w:noWrap w:val="0"/>
            <w:vAlign w:val="center"/>
          </w:tcPr>
          <w:p w14:paraId="654B7EE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喷泉水泵维修</w:t>
            </w:r>
          </w:p>
        </w:tc>
        <w:tc>
          <w:tcPr>
            <w:tcW w:w="2361" w:type="pct"/>
            <w:noWrap w:val="0"/>
            <w:vAlign w:val="center"/>
          </w:tcPr>
          <w:p w14:paraId="1D4E14D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1、QS25-25-3水泵拆卸、人工费以及水泵不换件维修</w:t>
            </w:r>
          </w:p>
          <w:p w14:paraId="2058303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2、QS25-25-3水泵维修（含技工人工费以及水泵维修）</w:t>
            </w:r>
          </w:p>
          <w:p w14:paraId="7F9E5DF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3、安装、调试（含单体调试）</w:t>
            </w:r>
          </w:p>
        </w:tc>
        <w:tc>
          <w:tcPr>
            <w:tcW w:w="301" w:type="pct"/>
            <w:noWrap w:val="0"/>
            <w:vAlign w:val="center"/>
          </w:tcPr>
          <w:p w14:paraId="5383793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59E0AE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490" w:type="pct"/>
            <w:noWrap w:val="0"/>
            <w:vAlign w:val="center"/>
          </w:tcPr>
          <w:p w14:paraId="2261A773">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057D693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B72D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5690B2D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605" w:type="pct"/>
            <w:noWrap w:val="0"/>
            <w:vAlign w:val="center"/>
          </w:tcPr>
          <w:p w14:paraId="684AB55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气爆装置维修</w:t>
            </w:r>
          </w:p>
        </w:tc>
        <w:tc>
          <w:tcPr>
            <w:tcW w:w="2361" w:type="pct"/>
            <w:noWrap w:val="0"/>
            <w:vAlign w:val="center"/>
          </w:tcPr>
          <w:p w14:paraId="6EEA3AE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气爆装置维修</w:t>
            </w:r>
          </w:p>
          <w:p w14:paraId="431FBDA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1、气爆装置拆卸人工费、设备更换气爆阀板、弹簧、支撑件等配件，不含主体</w:t>
            </w:r>
          </w:p>
          <w:p w14:paraId="7C1B842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2、安装、调试（含单体调试）</w:t>
            </w:r>
          </w:p>
        </w:tc>
        <w:tc>
          <w:tcPr>
            <w:tcW w:w="301" w:type="pct"/>
            <w:noWrap w:val="0"/>
            <w:vAlign w:val="center"/>
          </w:tcPr>
          <w:p w14:paraId="012BD55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p w14:paraId="12EAD90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p w14:paraId="20C70DB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6F0338D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p w14:paraId="6231136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p w14:paraId="633C3F0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w:t>
            </w:r>
          </w:p>
        </w:tc>
        <w:tc>
          <w:tcPr>
            <w:tcW w:w="490" w:type="pct"/>
            <w:noWrap w:val="0"/>
            <w:vAlign w:val="center"/>
          </w:tcPr>
          <w:p w14:paraId="1234E94D">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658300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color w:val="auto"/>
                <w:sz w:val="22"/>
                <w:szCs w:val="22"/>
                <w:highlight w:val="none"/>
              </w:rPr>
            </w:pPr>
          </w:p>
        </w:tc>
      </w:tr>
      <w:tr w14:paraId="7FA0D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6E9F274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605" w:type="pct"/>
            <w:noWrap w:val="0"/>
            <w:vAlign w:val="center"/>
          </w:tcPr>
          <w:p w14:paraId="62E0E02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电磁阀维修</w:t>
            </w:r>
          </w:p>
        </w:tc>
        <w:tc>
          <w:tcPr>
            <w:tcW w:w="2361" w:type="pct"/>
            <w:noWrap w:val="0"/>
            <w:vAlign w:val="center"/>
          </w:tcPr>
          <w:p w14:paraId="291AB89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DN40电磁阀维修</w:t>
            </w:r>
          </w:p>
          <w:p w14:paraId="11C3103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1、电磁阀拆卸人工费</w:t>
            </w:r>
          </w:p>
          <w:p w14:paraId="7E74F0E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2、电磁阀阀体、线路维修及满足使用前提下不换件维修</w:t>
            </w:r>
          </w:p>
          <w:p w14:paraId="3EB6EC9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3、安装、调试（含单体调试）</w:t>
            </w:r>
          </w:p>
        </w:tc>
        <w:tc>
          <w:tcPr>
            <w:tcW w:w="301" w:type="pct"/>
            <w:noWrap w:val="0"/>
            <w:vAlign w:val="center"/>
          </w:tcPr>
          <w:p w14:paraId="37E53CA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33253F4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22</w:t>
            </w:r>
          </w:p>
        </w:tc>
        <w:tc>
          <w:tcPr>
            <w:tcW w:w="490" w:type="pct"/>
            <w:noWrap w:val="0"/>
            <w:vAlign w:val="center"/>
          </w:tcPr>
          <w:p w14:paraId="7AD4C4C6">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455B149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color w:val="auto"/>
                <w:sz w:val="22"/>
                <w:szCs w:val="22"/>
                <w:highlight w:val="none"/>
              </w:rPr>
            </w:pPr>
          </w:p>
        </w:tc>
      </w:tr>
      <w:tr w14:paraId="46A85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3432C48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605" w:type="pct"/>
            <w:noWrap w:val="0"/>
            <w:vAlign w:val="center"/>
          </w:tcPr>
          <w:p w14:paraId="0B2E45C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排污泵维修</w:t>
            </w:r>
          </w:p>
          <w:p w14:paraId="3EE9649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150WQ150-8-5.5</w:t>
            </w:r>
          </w:p>
        </w:tc>
        <w:tc>
          <w:tcPr>
            <w:tcW w:w="2361" w:type="pct"/>
            <w:noWrap w:val="0"/>
            <w:vAlign w:val="center"/>
          </w:tcPr>
          <w:p w14:paraId="605656D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1、排污泵150-8-5.5水泵拆卸、人工费以及水泵不换件维修</w:t>
            </w:r>
          </w:p>
          <w:p w14:paraId="54CFB94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2、排污泵150-8-5.5水泵维修（含技工人工费以及水泵维修）</w:t>
            </w:r>
          </w:p>
          <w:p w14:paraId="5D98F66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3、安装、调试（含单体调试）</w:t>
            </w:r>
          </w:p>
        </w:tc>
        <w:tc>
          <w:tcPr>
            <w:tcW w:w="301" w:type="pct"/>
            <w:noWrap w:val="0"/>
            <w:vAlign w:val="center"/>
          </w:tcPr>
          <w:p w14:paraId="3F005FA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606E5E0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90" w:type="pct"/>
            <w:noWrap w:val="0"/>
            <w:vAlign w:val="center"/>
          </w:tcPr>
          <w:p w14:paraId="4370915D">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3E55328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color w:val="auto"/>
                <w:sz w:val="22"/>
                <w:szCs w:val="22"/>
                <w:highlight w:val="none"/>
              </w:rPr>
            </w:pPr>
          </w:p>
        </w:tc>
      </w:tr>
      <w:tr w14:paraId="6B0AB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0080B12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w:t>
            </w:r>
          </w:p>
        </w:tc>
        <w:tc>
          <w:tcPr>
            <w:tcW w:w="605" w:type="pct"/>
            <w:noWrap w:val="0"/>
            <w:vAlign w:val="center"/>
          </w:tcPr>
          <w:p w14:paraId="51CACC4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导水泵维修</w:t>
            </w:r>
          </w:p>
          <w:p w14:paraId="4CC110C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150WQ150-8-5.5</w:t>
            </w:r>
          </w:p>
        </w:tc>
        <w:tc>
          <w:tcPr>
            <w:tcW w:w="2361" w:type="pct"/>
            <w:noWrap w:val="0"/>
            <w:vAlign w:val="center"/>
          </w:tcPr>
          <w:p w14:paraId="32EF30B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1、导水泵150-8-5.5水泵拆卸、人工费以及水泵不换件维修</w:t>
            </w:r>
          </w:p>
          <w:p w14:paraId="2D45532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2、导水泵150-8-5.5水泵维修（含技工人工费以及水泵维修）</w:t>
            </w:r>
          </w:p>
          <w:p w14:paraId="6DF8EB5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3、安装、调试（含单体调试）</w:t>
            </w:r>
          </w:p>
        </w:tc>
        <w:tc>
          <w:tcPr>
            <w:tcW w:w="301" w:type="pct"/>
            <w:noWrap w:val="0"/>
            <w:vAlign w:val="center"/>
          </w:tcPr>
          <w:p w14:paraId="0CEE04F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C6EE24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490" w:type="pct"/>
            <w:noWrap w:val="0"/>
            <w:vAlign w:val="center"/>
          </w:tcPr>
          <w:p w14:paraId="6F356269">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2CC361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color w:val="auto"/>
                <w:sz w:val="22"/>
                <w:szCs w:val="22"/>
                <w:highlight w:val="none"/>
              </w:rPr>
            </w:pPr>
          </w:p>
        </w:tc>
      </w:tr>
      <w:tr w14:paraId="71E90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35744C1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w:t>
            </w:r>
          </w:p>
        </w:tc>
        <w:tc>
          <w:tcPr>
            <w:tcW w:w="605" w:type="pct"/>
            <w:noWrap w:val="0"/>
            <w:vAlign w:val="center"/>
          </w:tcPr>
          <w:p w14:paraId="035D1D2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变频器7.5KW维修</w:t>
            </w:r>
          </w:p>
        </w:tc>
        <w:tc>
          <w:tcPr>
            <w:tcW w:w="2361" w:type="pct"/>
            <w:noWrap w:val="0"/>
            <w:vAlign w:val="center"/>
          </w:tcPr>
          <w:p w14:paraId="07C16D9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变频器维修</w:t>
            </w:r>
          </w:p>
          <w:p w14:paraId="28932CC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1、变频器拆卸人工费（含技工人工费以及变频器维修）</w:t>
            </w:r>
          </w:p>
        </w:tc>
        <w:tc>
          <w:tcPr>
            <w:tcW w:w="301" w:type="pct"/>
            <w:noWrap w:val="0"/>
            <w:vAlign w:val="center"/>
          </w:tcPr>
          <w:p w14:paraId="437CBC5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687199D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90" w:type="pct"/>
            <w:noWrap w:val="0"/>
            <w:vAlign w:val="center"/>
          </w:tcPr>
          <w:p w14:paraId="1CBC817E">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7283654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color w:val="auto"/>
                <w:sz w:val="22"/>
                <w:szCs w:val="22"/>
                <w:highlight w:val="none"/>
              </w:rPr>
            </w:pPr>
          </w:p>
        </w:tc>
      </w:tr>
      <w:tr w14:paraId="74A6C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8"/>
            <w:noWrap w:val="0"/>
            <w:vAlign w:val="center"/>
          </w:tcPr>
          <w:p w14:paraId="48B1D8C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cs="宋体"/>
                <w:b/>
                <w:bCs/>
                <w:i w:val="0"/>
                <w:iCs w:val="0"/>
                <w:color w:val="auto"/>
                <w:kern w:val="0"/>
                <w:sz w:val="20"/>
                <w:szCs w:val="20"/>
                <w:highlight w:val="none"/>
                <w:u w:val="none"/>
                <w:lang w:val="en-US" w:eastAsia="zh-CN" w:bidi="ar"/>
              </w:rPr>
              <w:t>三、设备换新</w:t>
            </w:r>
          </w:p>
        </w:tc>
      </w:tr>
      <w:tr w14:paraId="2DC35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1A5DA55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605" w:type="pct"/>
            <w:noWrap w:val="0"/>
            <w:vAlign w:val="center"/>
          </w:tcPr>
          <w:p w14:paraId="266F448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喷泉水泵3KW</w:t>
            </w:r>
          </w:p>
        </w:tc>
        <w:tc>
          <w:tcPr>
            <w:tcW w:w="2361" w:type="pct"/>
            <w:noWrap w:val="0"/>
            <w:vAlign w:val="center"/>
          </w:tcPr>
          <w:p w14:paraId="7397217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喷泉水泵3KW换新安装</w:t>
            </w:r>
          </w:p>
          <w:p w14:paraId="1124504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1、QS25-24-3</w:t>
            </w:r>
          </w:p>
          <w:p w14:paraId="3572E1F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2、安装、调试（含单体及各系统整体、联合调试）</w:t>
            </w:r>
          </w:p>
        </w:tc>
        <w:tc>
          <w:tcPr>
            <w:tcW w:w="301" w:type="pct"/>
            <w:noWrap w:val="0"/>
            <w:vAlign w:val="center"/>
          </w:tcPr>
          <w:p w14:paraId="58251A3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7112502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490" w:type="pct"/>
            <w:noWrap w:val="0"/>
            <w:vAlign w:val="center"/>
          </w:tcPr>
          <w:p w14:paraId="6576115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270C537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82F5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3AD6259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605" w:type="pct"/>
            <w:noWrap w:val="0"/>
            <w:vAlign w:val="center"/>
          </w:tcPr>
          <w:p w14:paraId="259C941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电磁阀更新</w:t>
            </w:r>
          </w:p>
        </w:tc>
        <w:tc>
          <w:tcPr>
            <w:tcW w:w="2361" w:type="pct"/>
            <w:noWrap w:val="0"/>
            <w:vAlign w:val="center"/>
          </w:tcPr>
          <w:p w14:paraId="068FEF6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电磁阀换新安装</w:t>
            </w:r>
          </w:p>
          <w:p w14:paraId="617EE8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1、DN40</w:t>
            </w:r>
          </w:p>
          <w:p w14:paraId="6510BFF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2、304不锈钢材质</w:t>
            </w:r>
          </w:p>
          <w:p w14:paraId="2375A8F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3、压力2.5MPa</w:t>
            </w:r>
          </w:p>
          <w:p w14:paraId="0E5F5C7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4、连接方式：螺纹</w:t>
            </w:r>
          </w:p>
          <w:p w14:paraId="0CB9B1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5、应用介质：气</w:t>
            </w:r>
          </w:p>
          <w:p w14:paraId="44B0E3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6、安装、调试（含单体及各系统整体、联合调试）</w:t>
            </w:r>
          </w:p>
        </w:tc>
        <w:tc>
          <w:tcPr>
            <w:tcW w:w="301" w:type="pct"/>
            <w:noWrap w:val="0"/>
            <w:vAlign w:val="center"/>
          </w:tcPr>
          <w:p w14:paraId="3A26989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31D605A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w:t>
            </w:r>
          </w:p>
        </w:tc>
        <w:tc>
          <w:tcPr>
            <w:tcW w:w="490" w:type="pct"/>
            <w:noWrap w:val="0"/>
            <w:vAlign w:val="center"/>
          </w:tcPr>
          <w:p w14:paraId="574105C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7101C80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18C2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5E770B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605" w:type="pct"/>
            <w:noWrap w:val="0"/>
            <w:vAlign w:val="center"/>
          </w:tcPr>
          <w:p w14:paraId="5B30B58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水下灯（白色）</w:t>
            </w:r>
          </w:p>
        </w:tc>
        <w:tc>
          <w:tcPr>
            <w:tcW w:w="2361" w:type="pct"/>
            <w:noWrap w:val="0"/>
            <w:vAlign w:val="center"/>
          </w:tcPr>
          <w:p w14:paraId="3CDEA9E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水下灯换新安装</w:t>
            </w:r>
          </w:p>
          <w:p w14:paraId="49BE7B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1、灯具功率125W</w:t>
            </w:r>
          </w:p>
          <w:p w14:paraId="64EDEF6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2、304不锈钢材质</w:t>
            </w:r>
          </w:p>
          <w:p w14:paraId="332634F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3、安装、调试（含单体及各系统整体、联合调试）</w:t>
            </w:r>
          </w:p>
        </w:tc>
        <w:tc>
          <w:tcPr>
            <w:tcW w:w="301" w:type="pct"/>
            <w:noWrap w:val="0"/>
            <w:vAlign w:val="center"/>
          </w:tcPr>
          <w:p w14:paraId="34F5856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369" w:type="pct"/>
            <w:noWrap w:val="0"/>
            <w:vAlign w:val="center"/>
          </w:tcPr>
          <w:p w14:paraId="0D7233A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490" w:type="pct"/>
            <w:noWrap w:val="0"/>
            <w:vAlign w:val="center"/>
          </w:tcPr>
          <w:p w14:paraId="40F02C3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7D11F18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1FE9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29C55CF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605" w:type="pct"/>
            <w:noWrap w:val="0"/>
            <w:vAlign w:val="center"/>
          </w:tcPr>
          <w:p w14:paraId="615BF8A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w:t>
            </w:r>
          </w:p>
        </w:tc>
        <w:tc>
          <w:tcPr>
            <w:tcW w:w="2361" w:type="pct"/>
            <w:noWrap w:val="0"/>
            <w:vAlign w:val="center"/>
          </w:tcPr>
          <w:p w14:paraId="1844A98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变频器7.5KW换新安装</w:t>
            </w:r>
          </w:p>
          <w:p w14:paraId="791D5E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1、变频器7.5KW</w:t>
            </w:r>
          </w:p>
          <w:p w14:paraId="48C9D71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2、安装、调试（含单体及各系统整体、联合调试）</w:t>
            </w:r>
          </w:p>
        </w:tc>
        <w:tc>
          <w:tcPr>
            <w:tcW w:w="301" w:type="pct"/>
            <w:noWrap w:val="0"/>
            <w:vAlign w:val="center"/>
          </w:tcPr>
          <w:p w14:paraId="48498AA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C43D9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490" w:type="pct"/>
            <w:noWrap w:val="0"/>
            <w:vAlign w:val="center"/>
          </w:tcPr>
          <w:p w14:paraId="609DE24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2F4DFC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48AB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5D0978B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605" w:type="pct"/>
            <w:noWrap w:val="0"/>
            <w:vAlign w:val="center"/>
          </w:tcPr>
          <w:p w14:paraId="20465C0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w:t>
            </w:r>
          </w:p>
        </w:tc>
        <w:tc>
          <w:tcPr>
            <w:tcW w:w="2361" w:type="pct"/>
            <w:noWrap w:val="0"/>
            <w:vAlign w:val="center"/>
          </w:tcPr>
          <w:p w14:paraId="093A643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高压软管换新安装</w:t>
            </w:r>
          </w:p>
          <w:p w14:paraId="4B6D594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1.丁晴橡胶，内置高强度钢丝,2米/根,承压1.6Mpa，含原有管的拆除、更换、安装及调试</w:t>
            </w:r>
          </w:p>
        </w:tc>
        <w:tc>
          <w:tcPr>
            <w:tcW w:w="301" w:type="pct"/>
            <w:noWrap w:val="0"/>
            <w:vAlign w:val="center"/>
          </w:tcPr>
          <w:p w14:paraId="4565657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根</w:t>
            </w:r>
          </w:p>
        </w:tc>
        <w:tc>
          <w:tcPr>
            <w:tcW w:w="369" w:type="pct"/>
            <w:noWrap w:val="0"/>
            <w:vAlign w:val="center"/>
          </w:tcPr>
          <w:p w14:paraId="0054667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490" w:type="pct"/>
            <w:noWrap w:val="0"/>
            <w:vAlign w:val="center"/>
          </w:tcPr>
          <w:p w14:paraId="0CEDDA6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0CFD113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9A72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91" w:type="pct"/>
            <w:gridSpan w:val="5"/>
            <w:noWrap w:val="0"/>
            <w:vAlign w:val="center"/>
          </w:tcPr>
          <w:p w14:paraId="724AA61F">
            <w:pPr>
              <w:shd w:val="clear"/>
              <w:jc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sz w:val="22"/>
                <w:szCs w:val="22"/>
                <w:highlight w:val="none"/>
                <w:u w:val="none"/>
                <w:lang w:val="en-US" w:eastAsia="zh-CN" w:bidi="ar"/>
              </w:rPr>
              <w:t>二、三部分合计</w:t>
            </w:r>
            <w:r>
              <w:rPr>
                <w:rFonts w:hint="eastAsia" w:ascii="宋体" w:hAnsi="宋体" w:eastAsia="宋体" w:cs="宋体"/>
                <w:color w:val="auto"/>
                <w:sz w:val="22"/>
                <w:szCs w:val="22"/>
                <w:highlight w:val="none"/>
                <w:u w:val="none"/>
                <w:lang w:bidi="ar"/>
              </w:rPr>
              <w:t>：</w:t>
            </w:r>
          </w:p>
        </w:tc>
        <w:tc>
          <w:tcPr>
            <w:tcW w:w="490" w:type="pct"/>
            <w:noWrap w:val="0"/>
            <w:vAlign w:val="center"/>
          </w:tcPr>
          <w:p w14:paraId="39BB74B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407C2B9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bl>
    <w:p w14:paraId="135392E4">
      <w:pPr>
        <w:shd w:val="clear"/>
        <w:spacing w:after="0"/>
        <w:ind w:right="-2"/>
        <w:rPr>
          <w:rFonts w:hint="eastAsia" w:ascii="宋体" w:hAnsi="宋体"/>
          <w:color w:val="auto"/>
          <w:sz w:val="24"/>
          <w:highlight w:val="none"/>
        </w:rPr>
      </w:pPr>
      <w:r>
        <w:rPr>
          <w:rFonts w:hint="eastAsia" w:ascii="宋体" w:hAnsi="宋体"/>
          <w:color w:val="auto"/>
          <w:sz w:val="24"/>
          <w:highlight w:val="none"/>
        </w:rPr>
        <w:t>注：</w:t>
      </w:r>
    </w:p>
    <w:p w14:paraId="30BD37F4">
      <w:pPr>
        <w:widowControl w:val="0"/>
        <w:numPr>
          <w:ilvl w:val="0"/>
          <w:numId w:val="4"/>
        </w:numPr>
        <w:shd w:val="clear"/>
        <w:adjustRightInd/>
        <w:snapToGrid/>
        <w:spacing w:after="0"/>
        <w:ind w:left="0" w:right="-2" w:firstLine="0"/>
        <w:jc w:val="both"/>
        <w:rPr>
          <w:rFonts w:hint="eastAsia" w:ascii="宋体" w:hAnsi="宋体"/>
          <w:color w:val="auto"/>
          <w:sz w:val="24"/>
          <w:highlight w:val="none"/>
        </w:rPr>
      </w:pPr>
      <w:r>
        <w:rPr>
          <w:rFonts w:hint="eastAsia" w:ascii="宋体" w:hAnsi="宋体"/>
          <w:color w:val="auto"/>
          <w:sz w:val="24"/>
          <w:highlight w:val="none"/>
        </w:rPr>
        <w:t>所有价格用人民币表示，单位：元。　　　　　　　　　　　　　　　　　</w:t>
      </w:r>
    </w:p>
    <w:p w14:paraId="3EF86759">
      <w:pPr>
        <w:widowControl w:val="0"/>
        <w:numPr>
          <w:ilvl w:val="0"/>
          <w:numId w:val="4"/>
        </w:numPr>
        <w:shd w:val="clear"/>
        <w:adjustRightInd/>
        <w:snapToGrid/>
        <w:spacing w:after="0"/>
        <w:ind w:left="0" w:right="-2" w:firstLine="0"/>
        <w:jc w:val="both"/>
        <w:rPr>
          <w:rFonts w:hint="eastAsia" w:ascii="宋体" w:hAnsi="宋体"/>
          <w:color w:val="auto"/>
          <w:sz w:val="24"/>
          <w:highlight w:val="none"/>
        </w:rPr>
      </w:pPr>
      <w:r>
        <w:rPr>
          <w:rFonts w:hint="eastAsia" w:ascii="宋体" w:hAnsi="宋体"/>
          <w:color w:val="auto"/>
          <w:sz w:val="24"/>
          <w:highlight w:val="none"/>
        </w:rPr>
        <w:t xml:space="preserve">如果单价和总价不符时，以单价为准。　　　　             </w:t>
      </w:r>
    </w:p>
    <w:p w14:paraId="1876FB6A">
      <w:pPr>
        <w:widowControl w:val="0"/>
        <w:numPr>
          <w:ilvl w:val="0"/>
          <w:numId w:val="4"/>
        </w:numPr>
        <w:shd w:val="clear"/>
        <w:adjustRightInd/>
        <w:snapToGrid/>
        <w:spacing w:after="0"/>
        <w:ind w:left="0" w:right="-2" w:firstLine="0"/>
        <w:jc w:val="both"/>
        <w:rPr>
          <w:rFonts w:hint="eastAsia" w:ascii="宋体" w:hAnsi="宋体"/>
          <w:color w:val="auto"/>
          <w:sz w:val="24"/>
          <w:highlight w:val="none"/>
        </w:rPr>
      </w:pPr>
      <w:r>
        <w:rPr>
          <w:rFonts w:hint="eastAsia" w:ascii="宋体" w:hAnsi="宋体"/>
          <w:color w:val="auto"/>
          <w:sz w:val="24"/>
          <w:highlight w:val="none"/>
        </w:rPr>
        <w:t>投标报价直接转入到投标函中作为投标人的最终报价（有调价函时，以调价函中报价为投标人最终报价）。</w:t>
      </w:r>
    </w:p>
    <w:p w14:paraId="7711A8D4">
      <w:pPr>
        <w:pStyle w:val="2"/>
        <w:numPr>
          <w:ilvl w:val="0"/>
          <w:numId w:val="4"/>
        </w:numPr>
        <w:shd w:val="clear"/>
        <w:adjustRightInd w:val="0"/>
        <w:snapToGrid w:val="0"/>
        <w:ind w:left="0" w:firstLine="0"/>
        <w:rPr>
          <w:rFonts w:hint="eastAsia"/>
          <w:color w:val="auto"/>
          <w:sz w:val="24"/>
          <w:highlight w:val="none"/>
          <w:lang w:val="en-US" w:eastAsia="zh-CN"/>
        </w:rPr>
      </w:pPr>
      <w:r>
        <w:rPr>
          <w:rFonts w:hint="eastAsia"/>
          <w:color w:val="auto"/>
          <w:sz w:val="24"/>
          <w:highlight w:val="none"/>
          <w:lang w:val="en-US" w:eastAsia="zh-CN"/>
        </w:rPr>
        <w:t>投标报价高于最高限价，按无效投标处理。</w:t>
      </w:r>
    </w:p>
    <w:p w14:paraId="54F01787">
      <w:pPr>
        <w:numPr>
          <w:ilvl w:val="0"/>
          <w:numId w:val="4"/>
        </w:numPr>
        <w:shd w:val="clear"/>
        <w:spacing w:after="0"/>
        <w:ind w:left="0" w:firstLine="0"/>
        <w:rPr>
          <w:rFonts w:hint="default"/>
          <w:color w:val="auto"/>
          <w:highlight w:val="none"/>
          <w:lang w:val="en-US" w:eastAsia="zh-CN"/>
        </w:rPr>
      </w:pPr>
      <w:r>
        <w:rPr>
          <w:rFonts w:hint="eastAsia"/>
          <w:color w:val="auto"/>
          <w:highlight w:val="none"/>
          <w:lang w:val="en-US" w:eastAsia="zh-CN"/>
        </w:rPr>
        <w:t>投标单价合计将作为最终投标报价，仅用于价格部分分值计算。</w:t>
      </w:r>
    </w:p>
    <w:p w14:paraId="363F7758">
      <w:pPr>
        <w:shd w:val="clear"/>
        <w:spacing w:after="0"/>
        <w:ind w:right="-2"/>
        <w:rPr>
          <w:rFonts w:hint="eastAsia" w:ascii="宋体" w:hAnsi="宋体"/>
          <w:color w:val="auto"/>
          <w:sz w:val="24"/>
          <w:highlight w:val="none"/>
        </w:rPr>
      </w:pPr>
      <w:r>
        <w:rPr>
          <w:rFonts w:hint="eastAsia" w:ascii="宋体" w:hAnsi="宋体"/>
          <w:b/>
          <w:color w:val="auto"/>
          <w:sz w:val="24"/>
          <w:highlight w:val="none"/>
          <w:lang w:val="en-US" w:eastAsia="zh-CN"/>
        </w:rPr>
        <w:t>6</w:t>
      </w:r>
      <w:r>
        <w:rPr>
          <w:rFonts w:hint="eastAsia" w:ascii="宋体" w:hAnsi="宋体"/>
          <w:b/>
          <w:color w:val="auto"/>
          <w:sz w:val="24"/>
          <w:highlight w:val="none"/>
        </w:rPr>
        <w:t>.本文件应按规定签署，否则视为该文件无效。</w:t>
      </w:r>
    </w:p>
    <w:p w14:paraId="4F3FAE1F">
      <w:pPr>
        <w:shd w:val="clear"/>
        <w:spacing w:after="0" w:line="360" w:lineRule="auto"/>
        <w:ind w:right="0"/>
        <w:rPr>
          <w:rFonts w:hint="eastAsia" w:ascii="宋体" w:hAnsi="宋体"/>
          <w:color w:val="auto"/>
          <w:sz w:val="24"/>
          <w:highlight w:val="none"/>
        </w:rPr>
      </w:pPr>
    </w:p>
    <w:p w14:paraId="73AC5F2D">
      <w:pPr>
        <w:shd w:val="clear"/>
        <w:spacing w:after="0" w:line="360" w:lineRule="auto"/>
        <w:ind w:right="0"/>
        <w:rPr>
          <w:rFonts w:hint="eastAsia" w:ascii="宋体" w:hAnsi="宋体"/>
          <w:color w:val="auto"/>
          <w:sz w:val="24"/>
          <w:highlight w:val="none"/>
        </w:rPr>
      </w:pPr>
      <w:r>
        <w:rPr>
          <w:rFonts w:hint="eastAsia" w:ascii="宋体" w:hAnsi="宋体"/>
          <w:color w:val="auto"/>
          <w:sz w:val="24"/>
          <w:highlight w:val="none"/>
        </w:rPr>
        <w:t>法定代表人(签字或盖章)或被授权人（签字）：</w:t>
      </w:r>
      <w:r>
        <w:rPr>
          <w:rFonts w:hint="eastAsia" w:ascii="宋体" w:hAnsi="宋体"/>
          <w:color w:val="auto"/>
          <w:sz w:val="24"/>
          <w:highlight w:val="none"/>
          <w:u w:val="single"/>
        </w:rPr>
        <w:t xml:space="preserve">                                </w:t>
      </w:r>
    </w:p>
    <w:p w14:paraId="5D6F19E8">
      <w:pPr>
        <w:shd w:val="clear"/>
        <w:spacing w:after="0" w:line="220" w:lineRule="atLeast"/>
        <w:ind w:right="0"/>
        <w:rPr>
          <w:rFonts w:hint="eastAsia" w:ascii="宋体" w:hAnsi="宋体"/>
          <w:color w:val="auto"/>
          <w:sz w:val="24"/>
          <w:highlight w:val="none"/>
        </w:rPr>
      </w:pPr>
    </w:p>
    <w:p w14:paraId="5BCFCF5F">
      <w:pPr>
        <w:shd w:val="clear"/>
        <w:spacing w:after="0" w:line="220" w:lineRule="atLeast"/>
        <w:ind w:right="0"/>
        <w:rPr>
          <w:rFonts w:hint="eastAsia" w:ascii="宋体" w:hAnsi="宋体"/>
          <w:color w:val="auto"/>
          <w:highlight w:val="none"/>
        </w:rPr>
      </w:pPr>
      <w:r>
        <w:rPr>
          <w:rFonts w:hint="eastAsia" w:ascii="宋体" w:hAnsi="宋体"/>
          <w:color w:val="auto"/>
          <w:sz w:val="24"/>
          <w:highlight w:val="none"/>
        </w:rPr>
        <w:t>投标人公章：</w:t>
      </w:r>
      <w:r>
        <w:rPr>
          <w:rFonts w:hint="eastAsia" w:ascii="宋体" w:hAnsi="宋体"/>
          <w:color w:val="auto"/>
          <w:sz w:val="24"/>
          <w:highlight w:val="none"/>
          <w:u w:val="single"/>
        </w:rPr>
        <w:t xml:space="preserve">                      </w:t>
      </w:r>
    </w:p>
    <w:p w14:paraId="5F7BFC25">
      <w:pPr>
        <w:shd w:val="clear"/>
        <w:spacing w:after="0" w:line="360" w:lineRule="auto"/>
        <w:ind w:right="-2"/>
        <w:jc w:val="center"/>
        <w:rPr>
          <w:rFonts w:hint="eastAsia" w:ascii="宋体" w:hAnsi="宋体"/>
          <w:color w:val="auto"/>
          <w:sz w:val="36"/>
          <w:szCs w:val="36"/>
          <w:highlight w:val="none"/>
        </w:rPr>
      </w:pPr>
    </w:p>
    <w:p w14:paraId="1AFF827B">
      <w:pPr>
        <w:shd w:val="clear"/>
        <w:spacing w:after="0" w:line="360" w:lineRule="auto"/>
        <w:ind w:right="-2"/>
        <w:jc w:val="center"/>
        <w:rPr>
          <w:rFonts w:hint="eastAsia" w:ascii="宋体" w:hAnsi="宋体"/>
          <w:color w:val="auto"/>
          <w:sz w:val="36"/>
          <w:szCs w:val="36"/>
          <w:highlight w:val="none"/>
        </w:rPr>
      </w:pPr>
      <w:r>
        <w:rPr>
          <w:rFonts w:hint="eastAsia" w:ascii="宋体" w:hAnsi="宋体"/>
          <w:color w:val="auto"/>
          <w:sz w:val="36"/>
          <w:szCs w:val="36"/>
          <w:highlight w:val="none"/>
        </w:rPr>
        <w:t>三、服务要求响应及偏离表</w:t>
      </w:r>
    </w:p>
    <w:tbl>
      <w:tblPr>
        <w:tblStyle w:val="1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3462"/>
        <w:gridCol w:w="2484"/>
        <w:gridCol w:w="1332"/>
        <w:gridCol w:w="1332"/>
      </w:tblGrid>
      <w:tr w14:paraId="2EA4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vAlign w:val="center"/>
          </w:tcPr>
          <w:p w14:paraId="20BF9327">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序号</w:t>
            </w:r>
          </w:p>
        </w:tc>
        <w:tc>
          <w:tcPr>
            <w:tcW w:w="1809" w:type="pct"/>
            <w:vAlign w:val="center"/>
          </w:tcPr>
          <w:p w14:paraId="1D5C9452">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招标文件服务要求</w:t>
            </w:r>
          </w:p>
        </w:tc>
        <w:tc>
          <w:tcPr>
            <w:tcW w:w="1298" w:type="pct"/>
            <w:vAlign w:val="center"/>
          </w:tcPr>
          <w:p w14:paraId="02215D40">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投标文件响应内容</w:t>
            </w:r>
          </w:p>
        </w:tc>
        <w:tc>
          <w:tcPr>
            <w:tcW w:w="696" w:type="pct"/>
            <w:vAlign w:val="center"/>
          </w:tcPr>
          <w:p w14:paraId="13FB68EF">
            <w:pPr>
              <w:shd w:val="clear"/>
              <w:tabs>
                <w:tab w:val="left" w:pos="-75"/>
              </w:tabs>
              <w:spacing w:line="240" w:lineRule="exact"/>
              <w:ind w:right="-59" w:rightChars="-27"/>
              <w:jc w:val="center"/>
              <w:rPr>
                <w:rFonts w:hint="eastAsia" w:ascii="宋体" w:hAnsi="宋体"/>
                <w:color w:val="auto"/>
                <w:sz w:val="24"/>
                <w:highlight w:val="none"/>
              </w:rPr>
            </w:pPr>
            <w:r>
              <w:rPr>
                <w:rFonts w:hint="eastAsia" w:ascii="宋体" w:hAnsi="宋体"/>
                <w:color w:val="auto"/>
                <w:sz w:val="24"/>
                <w:highlight w:val="none"/>
              </w:rPr>
              <w:t>偏离程度</w:t>
            </w:r>
          </w:p>
        </w:tc>
        <w:tc>
          <w:tcPr>
            <w:tcW w:w="696" w:type="pct"/>
            <w:vAlign w:val="center"/>
          </w:tcPr>
          <w:p w14:paraId="63BA84F5">
            <w:pPr>
              <w:shd w:val="clear"/>
              <w:tabs>
                <w:tab w:val="left" w:pos="-75"/>
              </w:tabs>
              <w:spacing w:line="240" w:lineRule="exact"/>
              <w:ind w:right="-59" w:rightChars="-27"/>
              <w:jc w:val="center"/>
              <w:rPr>
                <w:rFonts w:hint="eastAsia" w:ascii="宋体" w:hAnsi="宋体"/>
                <w:color w:val="auto"/>
                <w:sz w:val="24"/>
                <w:highlight w:val="none"/>
              </w:rPr>
            </w:pPr>
            <w:r>
              <w:rPr>
                <w:rFonts w:hint="eastAsia" w:ascii="宋体" w:hAnsi="宋体"/>
                <w:color w:val="auto"/>
                <w:sz w:val="24"/>
                <w:highlight w:val="none"/>
              </w:rPr>
              <w:t>偏离说明</w:t>
            </w:r>
          </w:p>
        </w:tc>
      </w:tr>
      <w:tr w14:paraId="447D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tcPr>
          <w:p w14:paraId="19AD1BA9">
            <w:pPr>
              <w:shd w:val="clear"/>
              <w:spacing w:after="0" w:line="360" w:lineRule="auto"/>
              <w:ind w:right="-2"/>
              <w:jc w:val="center"/>
              <w:rPr>
                <w:rFonts w:hint="eastAsia" w:ascii="宋体" w:hAnsi="宋体"/>
                <w:color w:val="auto"/>
                <w:sz w:val="24"/>
                <w:highlight w:val="none"/>
              </w:rPr>
            </w:pPr>
          </w:p>
        </w:tc>
        <w:tc>
          <w:tcPr>
            <w:tcW w:w="1809" w:type="pct"/>
            <w:vAlign w:val="center"/>
          </w:tcPr>
          <w:p w14:paraId="0D430B0F">
            <w:pPr>
              <w:shd w:val="clear"/>
              <w:spacing w:after="0" w:line="360" w:lineRule="auto"/>
              <w:ind w:right="-2"/>
              <w:jc w:val="center"/>
              <w:rPr>
                <w:rFonts w:hint="eastAsia" w:ascii="宋体" w:hAnsi="宋体"/>
                <w:color w:val="auto"/>
                <w:sz w:val="24"/>
                <w:highlight w:val="none"/>
              </w:rPr>
            </w:pPr>
          </w:p>
        </w:tc>
        <w:tc>
          <w:tcPr>
            <w:tcW w:w="1298" w:type="pct"/>
            <w:vAlign w:val="center"/>
          </w:tcPr>
          <w:p w14:paraId="7EE6122F">
            <w:pPr>
              <w:shd w:val="clear"/>
              <w:spacing w:after="0" w:line="360" w:lineRule="auto"/>
              <w:ind w:right="-2"/>
              <w:jc w:val="center"/>
              <w:rPr>
                <w:rFonts w:hint="eastAsia" w:ascii="宋体" w:hAnsi="宋体"/>
                <w:color w:val="auto"/>
                <w:sz w:val="24"/>
                <w:highlight w:val="none"/>
              </w:rPr>
            </w:pPr>
          </w:p>
        </w:tc>
        <w:tc>
          <w:tcPr>
            <w:tcW w:w="696" w:type="pct"/>
            <w:vAlign w:val="center"/>
          </w:tcPr>
          <w:p w14:paraId="0C21515C">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084B7A46">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61C8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tcPr>
          <w:p w14:paraId="490606CE">
            <w:pPr>
              <w:shd w:val="clear"/>
              <w:spacing w:after="0" w:line="360" w:lineRule="auto"/>
              <w:ind w:right="-2"/>
              <w:jc w:val="center"/>
              <w:rPr>
                <w:rFonts w:hint="eastAsia" w:ascii="宋体" w:hAnsi="宋体"/>
                <w:color w:val="auto"/>
                <w:sz w:val="24"/>
                <w:highlight w:val="none"/>
              </w:rPr>
            </w:pPr>
          </w:p>
        </w:tc>
        <w:tc>
          <w:tcPr>
            <w:tcW w:w="1809" w:type="pct"/>
            <w:vAlign w:val="center"/>
          </w:tcPr>
          <w:p w14:paraId="7E0CF638">
            <w:pPr>
              <w:shd w:val="clear"/>
              <w:spacing w:after="0" w:line="360" w:lineRule="auto"/>
              <w:ind w:right="-2"/>
              <w:jc w:val="center"/>
              <w:rPr>
                <w:rFonts w:hint="eastAsia" w:ascii="宋体" w:hAnsi="宋体"/>
                <w:color w:val="auto"/>
                <w:sz w:val="24"/>
                <w:highlight w:val="none"/>
              </w:rPr>
            </w:pPr>
          </w:p>
        </w:tc>
        <w:tc>
          <w:tcPr>
            <w:tcW w:w="1298" w:type="pct"/>
            <w:vAlign w:val="center"/>
          </w:tcPr>
          <w:p w14:paraId="72383C74">
            <w:pPr>
              <w:shd w:val="clear"/>
              <w:spacing w:after="0" w:line="360" w:lineRule="auto"/>
              <w:ind w:right="-2"/>
              <w:jc w:val="center"/>
              <w:rPr>
                <w:rFonts w:hint="eastAsia" w:ascii="宋体" w:hAnsi="宋体"/>
                <w:color w:val="auto"/>
                <w:sz w:val="24"/>
                <w:highlight w:val="none"/>
              </w:rPr>
            </w:pPr>
          </w:p>
        </w:tc>
        <w:tc>
          <w:tcPr>
            <w:tcW w:w="696" w:type="pct"/>
            <w:vAlign w:val="center"/>
          </w:tcPr>
          <w:p w14:paraId="1A601A07">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4861C331">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533C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tcPr>
          <w:p w14:paraId="49E4E4A2">
            <w:pPr>
              <w:shd w:val="clear"/>
              <w:spacing w:after="0" w:line="360" w:lineRule="auto"/>
              <w:ind w:right="-2"/>
              <w:jc w:val="center"/>
              <w:rPr>
                <w:rFonts w:hint="eastAsia" w:ascii="宋体" w:hAnsi="宋体"/>
                <w:color w:val="auto"/>
                <w:sz w:val="24"/>
                <w:highlight w:val="none"/>
              </w:rPr>
            </w:pPr>
          </w:p>
        </w:tc>
        <w:tc>
          <w:tcPr>
            <w:tcW w:w="1809" w:type="pct"/>
            <w:vAlign w:val="center"/>
          </w:tcPr>
          <w:p w14:paraId="100CEEC2">
            <w:pPr>
              <w:shd w:val="clear"/>
              <w:spacing w:after="0" w:line="360" w:lineRule="auto"/>
              <w:ind w:right="-2"/>
              <w:jc w:val="center"/>
              <w:rPr>
                <w:rFonts w:hint="eastAsia" w:ascii="宋体" w:hAnsi="宋体"/>
                <w:color w:val="auto"/>
                <w:sz w:val="24"/>
                <w:highlight w:val="none"/>
              </w:rPr>
            </w:pPr>
          </w:p>
        </w:tc>
        <w:tc>
          <w:tcPr>
            <w:tcW w:w="1298" w:type="pct"/>
            <w:vAlign w:val="center"/>
          </w:tcPr>
          <w:p w14:paraId="2AB4419B">
            <w:pPr>
              <w:shd w:val="clear"/>
              <w:spacing w:after="0" w:line="360" w:lineRule="auto"/>
              <w:ind w:right="-2"/>
              <w:jc w:val="center"/>
              <w:rPr>
                <w:rFonts w:hint="eastAsia" w:ascii="宋体" w:hAnsi="宋体"/>
                <w:color w:val="auto"/>
                <w:sz w:val="24"/>
                <w:highlight w:val="none"/>
              </w:rPr>
            </w:pPr>
          </w:p>
        </w:tc>
        <w:tc>
          <w:tcPr>
            <w:tcW w:w="696" w:type="pct"/>
            <w:vAlign w:val="center"/>
          </w:tcPr>
          <w:p w14:paraId="21747EBC">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5AADE76D">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675E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tcPr>
          <w:p w14:paraId="50E3AFBD">
            <w:pPr>
              <w:shd w:val="clear"/>
              <w:spacing w:after="0" w:line="360" w:lineRule="auto"/>
              <w:ind w:right="-2"/>
              <w:jc w:val="center"/>
              <w:rPr>
                <w:rFonts w:hint="eastAsia" w:ascii="宋体" w:hAnsi="宋体"/>
                <w:color w:val="auto"/>
                <w:sz w:val="24"/>
                <w:highlight w:val="none"/>
              </w:rPr>
            </w:pPr>
          </w:p>
        </w:tc>
        <w:tc>
          <w:tcPr>
            <w:tcW w:w="1809" w:type="pct"/>
            <w:vAlign w:val="center"/>
          </w:tcPr>
          <w:p w14:paraId="4AB0DE44">
            <w:pPr>
              <w:shd w:val="clear"/>
              <w:spacing w:after="0" w:line="360" w:lineRule="auto"/>
              <w:ind w:right="-2"/>
              <w:jc w:val="center"/>
              <w:rPr>
                <w:rFonts w:hint="eastAsia" w:ascii="宋体" w:hAnsi="宋体"/>
                <w:color w:val="auto"/>
                <w:sz w:val="24"/>
                <w:highlight w:val="none"/>
              </w:rPr>
            </w:pPr>
          </w:p>
        </w:tc>
        <w:tc>
          <w:tcPr>
            <w:tcW w:w="1298" w:type="pct"/>
            <w:vAlign w:val="center"/>
          </w:tcPr>
          <w:p w14:paraId="4955EBE4">
            <w:pPr>
              <w:shd w:val="clear"/>
              <w:spacing w:after="0" w:line="360" w:lineRule="auto"/>
              <w:ind w:right="-2"/>
              <w:jc w:val="center"/>
              <w:rPr>
                <w:rFonts w:hint="eastAsia" w:ascii="宋体" w:hAnsi="宋体"/>
                <w:color w:val="auto"/>
                <w:sz w:val="24"/>
                <w:highlight w:val="none"/>
              </w:rPr>
            </w:pPr>
          </w:p>
        </w:tc>
        <w:tc>
          <w:tcPr>
            <w:tcW w:w="696" w:type="pct"/>
            <w:vAlign w:val="center"/>
          </w:tcPr>
          <w:p w14:paraId="26A0D747">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02DE6798">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4F2D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tcPr>
          <w:p w14:paraId="3F175F08">
            <w:pPr>
              <w:shd w:val="clear"/>
              <w:spacing w:after="0" w:line="360" w:lineRule="auto"/>
              <w:ind w:right="-2"/>
              <w:jc w:val="center"/>
              <w:rPr>
                <w:rFonts w:hint="eastAsia" w:ascii="宋体" w:hAnsi="宋体"/>
                <w:color w:val="auto"/>
                <w:sz w:val="24"/>
                <w:highlight w:val="none"/>
              </w:rPr>
            </w:pPr>
          </w:p>
        </w:tc>
        <w:tc>
          <w:tcPr>
            <w:tcW w:w="1809" w:type="pct"/>
            <w:vAlign w:val="center"/>
          </w:tcPr>
          <w:p w14:paraId="470C492D">
            <w:pPr>
              <w:shd w:val="clear"/>
              <w:spacing w:after="0" w:line="360" w:lineRule="auto"/>
              <w:ind w:right="-2"/>
              <w:jc w:val="center"/>
              <w:rPr>
                <w:rFonts w:hint="eastAsia" w:ascii="宋体" w:hAnsi="宋体"/>
                <w:color w:val="auto"/>
                <w:sz w:val="24"/>
                <w:highlight w:val="none"/>
              </w:rPr>
            </w:pPr>
          </w:p>
        </w:tc>
        <w:tc>
          <w:tcPr>
            <w:tcW w:w="1298" w:type="pct"/>
            <w:vAlign w:val="center"/>
          </w:tcPr>
          <w:p w14:paraId="68A1FA6C">
            <w:pPr>
              <w:shd w:val="clear"/>
              <w:spacing w:after="0" w:line="360" w:lineRule="auto"/>
              <w:ind w:right="-2"/>
              <w:jc w:val="center"/>
              <w:rPr>
                <w:rFonts w:hint="eastAsia" w:ascii="宋体" w:hAnsi="宋体"/>
                <w:color w:val="auto"/>
                <w:sz w:val="24"/>
                <w:highlight w:val="none"/>
              </w:rPr>
            </w:pPr>
          </w:p>
        </w:tc>
        <w:tc>
          <w:tcPr>
            <w:tcW w:w="696" w:type="pct"/>
            <w:vAlign w:val="center"/>
          </w:tcPr>
          <w:p w14:paraId="39060720">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33CA56B9">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bl>
    <w:p w14:paraId="6DAA06CD">
      <w:pPr>
        <w:shd w:val="clear"/>
        <w:spacing w:after="0" w:line="360" w:lineRule="auto"/>
        <w:ind w:right="-2"/>
        <w:rPr>
          <w:rFonts w:hint="eastAsia" w:ascii="宋体" w:hAnsi="宋体"/>
          <w:color w:val="auto"/>
          <w:sz w:val="24"/>
          <w:highlight w:val="none"/>
        </w:rPr>
      </w:pPr>
    </w:p>
    <w:p w14:paraId="66134B04">
      <w:pPr>
        <w:shd w:val="clear"/>
        <w:spacing w:after="0" w:line="360" w:lineRule="auto"/>
        <w:ind w:right="-2"/>
        <w:rPr>
          <w:rFonts w:hint="eastAsia" w:ascii="宋体" w:hAnsi="宋体"/>
          <w:color w:val="auto"/>
          <w:highlight w:val="none"/>
        </w:rPr>
      </w:pPr>
      <w:r>
        <w:rPr>
          <w:rFonts w:hint="eastAsia" w:ascii="宋体" w:hAnsi="宋体"/>
          <w:color w:val="auto"/>
          <w:highlight w:val="none"/>
        </w:rPr>
        <w:t>注：（1）招标文件服务要求在投标文件第三章项目需求及服务要求中有明确规定。</w:t>
      </w:r>
    </w:p>
    <w:p w14:paraId="785E7879">
      <w:pPr>
        <w:shd w:val="clear"/>
        <w:spacing w:after="0" w:line="360" w:lineRule="auto"/>
        <w:ind w:right="-2" w:firstLine="440" w:firstLineChars="200"/>
        <w:rPr>
          <w:rFonts w:hint="eastAsia" w:ascii="宋体" w:hAnsi="宋体"/>
          <w:color w:val="auto"/>
          <w:highlight w:val="none"/>
        </w:rPr>
      </w:pPr>
      <w:r>
        <w:rPr>
          <w:rFonts w:hint="eastAsia" w:ascii="宋体" w:hAnsi="宋体"/>
          <w:color w:val="auto"/>
          <w:highlight w:val="none"/>
        </w:rPr>
        <w:t>（2）投标文件响应内容由投标人填写，</w:t>
      </w:r>
      <w:r>
        <w:rPr>
          <w:rFonts w:hint="eastAsia" w:ascii="宋体" w:hAnsi="宋体"/>
          <w:b/>
          <w:color w:val="auto"/>
          <w:highlight w:val="none"/>
        </w:rPr>
        <w:t>“★”号条款必须填写并响应，未响应“★”号条款的投标文件为无效</w:t>
      </w:r>
      <w:r>
        <w:rPr>
          <w:rFonts w:hint="eastAsia" w:ascii="宋体" w:hAnsi="宋体"/>
          <w:color w:val="auto"/>
          <w:highlight w:val="none"/>
        </w:rPr>
        <w:t>。</w:t>
      </w:r>
    </w:p>
    <w:p w14:paraId="79FE0196">
      <w:pPr>
        <w:shd w:val="clear"/>
        <w:spacing w:after="0" w:line="360" w:lineRule="auto"/>
        <w:ind w:right="-2" w:firstLine="440" w:firstLineChars="200"/>
        <w:rPr>
          <w:rFonts w:hint="eastAsia" w:ascii="宋体" w:hAnsi="宋体"/>
          <w:color w:val="auto"/>
          <w:highlight w:val="none"/>
        </w:rPr>
      </w:pPr>
      <w:r>
        <w:rPr>
          <w:rFonts w:hint="eastAsia" w:ascii="宋体" w:hAnsi="宋体"/>
          <w:color w:val="auto"/>
          <w:highlight w:val="none"/>
        </w:rPr>
        <w:t>（3）“偏离程度”一栏根据“投标文件响应内容”与招标文件逐项对照的结果填写。偏离必须用“正偏离、负偏离、无偏离”三个名称中的一种进行标注。</w:t>
      </w:r>
    </w:p>
    <w:p w14:paraId="4689C2C2">
      <w:pPr>
        <w:shd w:val="clear"/>
        <w:spacing w:after="0" w:line="360" w:lineRule="auto"/>
        <w:ind w:right="-2" w:firstLine="440" w:firstLineChars="200"/>
        <w:rPr>
          <w:rFonts w:hint="eastAsia" w:ascii="宋体" w:hAnsi="宋体"/>
          <w:color w:val="auto"/>
          <w:highlight w:val="none"/>
        </w:rPr>
      </w:pPr>
      <w:r>
        <w:rPr>
          <w:rFonts w:hint="eastAsia" w:ascii="宋体" w:hAnsi="宋体"/>
          <w:color w:val="auto"/>
          <w:highlight w:val="none"/>
        </w:rPr>
        <w:t>（4）“偏离说明”一栏由投标人对偏离的情况做详细说明，可另附页并标注页码。</w:t>
      </w:r>
    </w:p>
    <w:p w14:paraId="14547005">
      <w:pPr>
        <w:shd w:val="clear"/>
        <w:spacing w:after="0" w:line="360" w:lineRule="auto"/>
        <w:ind w:left="550" w:leftChars="200" w:right="-2" w:hanging="110" w:hangingChars="50"/>
        <w:rPr>
          <w:rFonts w:hint="eastAsia" w:ascii="宋体" w:hAnsi="宋体"/>
          <w:color w:val="auto"/>
          <w:highlight w:val="none"/>
        </w:rPr>
      </w:pPr>
      <w:r>
        <w:rPr>
          <w:rFonts w:hint="eastAsia" w:ascii="宋体" w:hAnsi="宋体"/>
          <w:color w:val="auto"/>
          <w:highlight w:val="none"/>
        </w:rPr>
        <w:t>（5）本表中填写的响应内容应与实际服务内容相一致。存在虚假行为的，供应商应依法承担有关法律责任。</w:t>
      </w:r>
    </w:p>
    <w:p w14:paraId="6DC53A66">
      <w:pPr>
        <w:shd w:val="clear"/>
        <w:adjustRightInd/>
        <w:snapToGrid/>
        <w:spacing w:line="220" w:lineRule="atLeast"/>
        <w:ind w:firstLine="442" w:firstLineChars="200"/>
        <w:rPr>
          <w:rFonts w:hint="eastAsia" w:ascii="宋体" w:hAnsi="宋体"/>
          <w:b/>
          <w:color w:val="auto"/>
          <w:highlight w:val="none"/>
        </w:rPr>
      </w:pPr>
      <w:r>
        <w:rPr>
          <w:rFonts w:hint="eastAsia" w:ascii="宋体" w:hAnsi="宋体"/>
          <w:b/>
          <w:color w:val="auto"/>
          <w:highlight w:val="none"/>
        </w:rPr>
        <w:t>（6）本文件应按规定签署，否则视为该文件无效。</w:t>
      </w:r>
    </w:p>
    <w:p w14:paraId="3DF6855C">
      <w:pPr>
        <w:shd w:val="clear"/>
        <w:spacing w:after="0" w:line="360" w:lineRule="auto"/>
        <w:ind w:right="-2"/>
        <w:rPr>
          <w:rFonts w:hint="eastAsia" w:ascii="宋体" w:hAnsi="宋体"/>
          <w:color w:val="auto"/>
          <w:sz w:val="24"/>
          <w:highlight w:val="none"/>
        </w:rPr>
      </w:pPr>
    </w:p>
    <w:p w14:paraId="510E173C">
      <w:pPr>
        <w:shd w:val="clear"/>
        <w:spacing w:after="0" w:line="360" w:lineRule="auto"/>
        <w:ind w:right="-2"/>
        <w:rPr>
          <w:rFonts w:hint="eastAsia" w:ascii="宋体" w:hAnsi="宋体"/>
          <w:color w:val="auto"/>
          <w:sz w:val="24"/>
          <w:highlight w:val="none"/>
        </w:rPr>
      </w:pPr>
    </w:p>
    <w:p w14:paraId="0F022124">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rPr>
        <w:t>法定代表人(签字或盖章)或被授权人（签字）：</w:t>
      </w:r>
      <w:r>
        <w:rPr>
          <w:rFonts w:hint="eastAsia" w:ascii="宋体" w:hAnsi="宋体"/>
          <w:color w:val="auto"/>
          <w:sz w:val="24"/>
          <w:highlight w:val="none"/>
          <w:u w:val="single"/>
        </w:rPr>
        <w:t xml:space="preserve">                                </w:t>
      </w:r>
    </w:p>
    <w:p w14:paraId="7C1B7BF7">
      <w:pPr>
        <w:widowControl w:val="0"/>
        <w:shd w:val="clear"/>
        <w:tabs>
          <w:tab w:val="left" w:pos="360"/>
        </w:tabs>
        <w:adjustRightInd/>
        <w:snapToGrid/>
        <w:spacing w:after="0"/>
        <w:ind w:right="-2"/>
        <w:jc w:val="both"/>
        <w:rPr>
          <w:rFonts w:hint="eastAsia" w:ascii="宋体" w:hAnsi="宋体"/>
          <w:color w:val="auto"/>
          <w:sz w:val="24"/>
          <w:highlight w:val="none"/>
        </w:rPr>
      </w:pPr>
    </w:p>
    <w:p w14:paraId="36D0DAD9">
      <w:pPr>
        <w:widowControl w:val="0"/>
        <w:shd w:val="clear"/>
        <w:tabs>
          <w:tab w:val="left" w:pos="360"/>
        </w:tabs>
        <w:adjustRightInd/>
        <w:snapToGrid/>
        <w:spacing w:after="0"/>
        <w:ind w:right="-2"/>
        <w:jc w:val="both"/>
        <w:rPr>
          <w:rFonts w:hint="eastAsia" w:ascii="宋体" w:hAnsi="宋体"/>
          <w:color w:val="auto"/>
          <w:sz w:val="24"/>
          <w:highlight w:val="none"/>
        </w:rPr>
      </w:pPr>
      <w:r>
        <w:rPr>
          <w:rFonts w:hint="eastAsia" w:ascii="宋体" w:hAnsi="宋体"/>
          <w:color w:val="auto"/>
          <w:sz w:val="24"/>
          <w:highlight w:val="none"/>
        </w:rPr>
        <w:t>投标人公章：</w:t>
      </w:r>
      <w:r>
        <w:rPr>
          <w:rFonts w:hint="eastAsia" w:ascii="宋体" w:hAnsi="宋体"/>
          <w:color w:val="auto"/>
          <w:sz w:val="24"/>
          <w:highlight w:val="none"/>
          <w:u w:val="single"/>
        </w:rPr>
        <w:t xml:space="preserve">                      </w:t>
      </w:r>
      <w:r>
        <w:rPr>
          <w:rFonts w:ascii="宋体" w:hAnsi="宋体"/>
          <w:color w:val="auto"/>
          <w:sz w:val="36"/>
          <w:szCs w:val="36"/>
          <w:highlight w:val="none"/>
        </w:rPr>
        <w:br w:type="page"/>
      </w:r>
    </w:p>
    <w:p w14:paraId="14C0C315">
      <w:pPr>
        <w:shd w:val="clear"/>
        <w:spacing w:after="0" w:line="360" w:lineRule="auto"/>
        <w:ind w:right="-2"/>
        <w:jc w:val="center"/>
        <w:rPr>
          <w:rFonts w:hint="eastAsia" w:ascii="宋体" w:hAnsi="宋体" w:cs="宋体"/>
          <w:color w:val="auto"/>
          <w:sz w:val="36"/>
          <w:szCs w:val="36"/>
          <w:highlight w:val="none"/>
        </w:rPr>
      </w:pPr>
      <w:r>
        <w:rPr>
          <w:rFonts w:hint="eastAsia" w:ascii="宋体" w:hAnsi="宋体"/>
          <w:color w:val="auto"/>
          <w:sz w:val="36"/>
          <w:szCs w:val="36"/>
          <w:highlight w:val="none"/>
        </w:rPr>
        <w:t>四、</w:t>
      </w:r>
      <w:r>
        <w:rPr>
          <w:rFonts w:hint="eastAsia" w:ascii="宋体" w:hAnsi="宋体" w:cs="宋体"/>
          <w:color w:val="auto"/>
          <w:sz w:val="36"/>
          <w:szCs w:val="36"/>
          <w:highlight w:val="none"/>
        </w:rPr>
        <w:t>商务条款响应及偏离表</w:t>
      </w:r>
    </w:p>
    <w:tbl>
      <w:tblPr>
        <w:tblStyle w:val="1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571"/>
        <w:gridCol w:w="2484"/>
        <w:gridCol w:w="1332"/>
        <w:gridCol w:w="1332"/>
      </w:tblGrid>
      <w:tr w14:paraId="740E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vAlign w:val="center"/>
          </w:tcPr>
          <w:p w14:paraId="4DB232FF">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序号</w:t>
            </w:r>
          </w:p>
        </w:tc>
        <w:tc>
          <w:tcPr>
            <w:tcW w:w="1866" w:type="pct"/>
            <w:vAlign w:val="center"/>
          </w:tcPr>
          <w:p w14:paraId="3A9FE990">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招标文件要求的商务条款</w:t>
            </w:r>
          </w:p>
        </w:tc>
        <w:tc>
          <w:tcPr>
            <w:tcW w:w="1298" w:type="pct"/>
            <w:vAlign w:val="center"/>
          </w:tcPr>
          <w:p w14:paraId="22D11048">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投标文件响应内容</w:t>
            </w:r>
          </w:p>
        </w:tc>
        <w:tc>
          <w:tcPr>
            <w:tcW w:w="696" w:type="pct"/>
            <w:vAlign w:val="center"/>
          </w:tcPr>
          <w:p w14:paraId="25B879EC">
            <w:pPr>
              <w:shd w:val="clear"/>
              <w:tabs>
                <w:tab w:val="left" w:pos="-75"/>
              </w:tabs>
              <w:spacing w:line="240" w:lineRule="exact"/>
              <w:ind w:right="-59" w:rightChars="-27"/>
              <w:jc w:val="center"/>
              <w:rPr>
                <w:rFonts w:hint="eastAsia" w:ascii="宋体" w:hAnsi="宋体"/>
                <w:color w:val="auto"/>
                <w:sz w:val="24"/>
                <w:highlight w:val="none"/>
              </w:rPr>
            </w:pPr>
            <w:r>
              <w:rPr>
                <w:rFonts w:hint="eastAsia" w:ascii="宋体" w:hAnsi="宋体"/>
                <w:color w:val="auto"/>
                <w:sz w:val="24"/>
                <w:highlight w:val="none"/>
              </w:rPr>
              <w:t>偏离程度</w:t>
            </w:r>
          </w:p>
        </w:tc>
        <w:tc>
          <w:tcPr>
            <w:tcW w:w="696" w:type="pct"/>
            <w:vAlign w:val="center"/>
          </w:tcPr>
          <w:p w14:paraId="08D87E53">
            <w:pPr>
              <w:shd w:val="clear"/>
              <w:tabs>
                <w:tab w:val="left" w:pos="-75"/>
              </w:tabs>
              <w:spacing w:line="240" w:lineRule="exact"/>
              <w:ind w:right="-59" w:rightChars="-27"/>
              <w:jc w:val="center"/>
              <w:rPr>
                <w:rFonts w:hint="eastAsia" w:ascii="宋体" w:hAnsi="宋体"/>
                <w:color w:val="auto"/>
                <w:sz w:val="24"/>
                <w:highlight w:val="none"/>
              </w:rPr>
            </w:pPr>
            <w:r>
              <w:rPr>
                <w:rFonts w:hint="eastAsia" w:ascii="宋体" w:hAnsi="宋体"/>
                <w:color w:val="auto"/>
                <w:sz w:val="24"/>
                <w:highlight w:val="none"/>
              </w:rPr>
              <w:t>偏离说明</w:t>
            </w:r>
          </w:p>
        </w:tc>
      </w:tr>
      <w:tr w14:paraId="0F22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tcPr>
          <w:p w14:paraId="6D7F90DA">
            <w:pPr>
              <w:shd w:val="clear"/>
              <w:spacing w:after="0" w:line="360" w:lineRule="auto"/>
              <w:ind w:right="-2"/>
              <w:jc w:val="center"/>
              <w:rPr>
                <w:rFonts w:hint="eastAsia" w:ascii="宋体" w:hAnsi="宋体"/>
                <w:color w:val="auto"/>
                <w:sz w:val="24"/>
                <w:highlight w:val="none"/>
              </w:rPr>
            </w:pPr>
          </w:p>
        </w:tc>
        <w:tc>
          <w:tcPr>
            <w:tcW w:w="1866" w:type="pct"/>
            <w:vAlign w:val="center"/>
          </w:tcPr>
          <w:p w14:paraId="7D916346">
            <w:pPr>
              <w:shd w:val="clear"/>
              <w:spacing w:after="0" w:line="360" w:lineRule="auto"/>
              <w:ind w:right="-2"/>
              <w:jc w:val="center"/>
              <w:rPr>
                <w:rFonts w:hint="eastAsia" w:ascii="宋体" w:hAnsi="宋体"/>
                <w:color w:val="auto"/>
                <w:sz w:val="24"/>
                <w:highlight w:val="none"/>
              </w:rPr>
            </w:pPr>
          </w:p>
        </w:tc>
        <w:tc>
          <w:tcPr>
            <w:tcW w:w="1298" w:type="pct"/>
            <w:vAlign w:val="center"/>
          </w:tcPr>
          <w:p w14:paraId="12885D97">
            <w:pPr>
              <w:shd w:val="clear"/>
              <w:spacing w:after="0" w:line="360" w:lineRule="auto"/>
              <w:ind w:right="-2"/>
              <w:jc w:val="center"/>
              <w:rPr>
                <w:rFonts w:hint="eastAsia" w:ascii="宋体" w:hAnsi="宋体"/>
                <w:color w:val="auto"/>
                <w:sz w:val="24"/>
                <w:highlight w:val="none"/>
              </w:rPr>
            </w:pPr>
          </w:p>
        </w:tc>
        <w:tc>
          <w:tcPr>
            <w:tcW w:w="696" w:type="pct"/>
            <w:vAlign w:val="center"/>
          </w:tcPr>
          <w:p w14:paraId="1C497350">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7E87B4FB">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6D54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tcPr>
          <w:p w14:paraId="4CED8D38">
            <w:pPr>
              <w:shd w:val="clear"/>
              <w:spacing w:after="0" w:line="360" w:lineRule="auto"/>
              <w:ind w:right="-2"/>
              <w:jc w:val="center"/>
              <w:rPr>
                <w:rFonts w:hint="eastAsia" w:ascii="宋体" w:hAnsi="宋体"/>
                <w:color w:val="auto"/>
                <w:sz w:val="24"/>
                <w:highlight w:val="none"/>
              </w:rPr>
            </w:pPr>
          </w:p>
        </w:tc>
        <w:tc>
          <w:tcPr>
            <w:tcW w:w="1866" w:type="pct"/>
            <w:vAlign w:val="center"/>
          </w:tcPr>
          <w:p w14:paraId="5825B89D">
            <w:pPr>
              <w:shd w:val="clear"/>
              <w:spacing w:after="0" w:line="360" w:lineRule="auto"/>
              <w:ind w:right="-2"/>
              <w:jc w:val="center"/>
              <w:rPr>
                <w:rFonts w:hint="eastAsia" w:ascii="宋体" w:hAnsi="宋体"/>
                <w:color w:val="auto"/>
                <w:sz w:val="24"/>
                <w:highlight w:val="none"/>
              </w:rPr>
            </w:pPr>
          </w:p>
        </w:tc>
        <w:tc>
          <w:tcPr>
            <w:tcW w:w="1298" w:type="pct"/>
            <w:vAlign w:val="center"/>
          </w:tcPr>
          <w:p w14:paraId="4D311E05">
            <w:pPr>
              <w:shd w:val="clear"/>
              <w:spacing w:after="0" w:line="360" w:lineRule="auto"/>
              <w:ind w:right="-2"/>
              <w:jc w:val="center"/>
              <w:rPr>
                <w:rFonts w:hint="eastAsia" w:ascii="宋体" w:hAnsi="宋体"/>
                <w:color w:val="auto"/>
                <w:sz w:val="24"/>
                <w:highlight w:val="none"/>
              </w:rPr>
            </w:pPr>
          </w:p>
        </w:tc>
        <w:tc>
          <w:tcPr>
            <w:tcW w:w="696" w:type="pct"/>
            <w:vAlign w:val="center"/>
          </w:tcPr>
          <w:p w14:paraId="0DAD5A79">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3A3AA70C">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3D3A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tcPr>
          <w:p w14:paraId="20BA0745">
            <w:pPr>
              <w:shd w:val="clear"/>
              <w:spacing w:after="0" w:line="360" w:lineRule="auto"/>
              <w:ind w:right="-2"/>
              <w:jc w:val="center"/>
              <w:rPr>
                <w:rFonts w:hint="eastAsia" w:ascii="宋体" w:hAnsi="宋体"/>
                <w:color w:val="auto"/>
                <w:sz w:val="24"/>
                <w:highlight w:val="none"/>
              </w:rPr>
            </w:pPr>
          </w:p>
        </w:tc>
        <w:tc>
          <w:tcPr>
            <w:tcW w:w="1866" w:type="pct"/>
            <w:vAlign w:val="center"/>
          </w:tcPr>
          <w:p w14:paraId="7B423D5D">
            <w:pPr>
              <w:shd w:val="clear"/>
              <w:spacing w:after="0" w:line="360" w:lineRule="auto"/>
              <w:ind w:right="-2"/>
              <w:jc w:val="center"/>
              <w:rPr>
                <w:rFonts w:hint="eastAsia" w:ascii="宋体" w:hAnsi="宋体"/>
                <w:color w:val="auto"/>
                <w:sz w:val="24"/>
                <w:highlight w:val="none"/>
              </w:rPr>
            </w:pPr>
          </w:p>
        </w:tc>
        <w:tc>
          <w:tcPr>
            <w:tcW w:w="1298" w:type="pct"/>
            <w:vAlign w:val="center"/>
          </w:tcPr>
          <w:p w14:paraId="2F38585A">
            <w:pPr>
              <w:shd w:val="clear"/>
              <w:spacing w:after="0" w:line="360" w:lineRule="auto"/>
              <w:ind w:right="-2"/>
              <w:jc w:val="center"/>
              <w:rPr>
                <w:rFonts w:hint="eastAsia" w:ascii="宋体" w:hAnsi="宋体"/>
                <w:color w:val="auto"/>
                <w:sz w:val="24"/>
                <w:highlight w:val="none"/>
              </w:rPr>
            </w:pPr>
          </w:p>
        </w:tc>
        <w:tc>
          <w:tcPr>
            <w:tcW w:w="696" w:type="pct"/>
            <w:vAlign w:val="center"/>
          </w:tcPr>
          <w:p w14:paraId="2722A16D">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309EDE4B">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3CA7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tcPr>
          <w:p w14:paraId="773DE627">
            <w:pPr>
              <w:shd w:val="clear"/>
              <w:spacing w:after="0" w:line="360" w:lineRule="auto"/>
              <w:ind w:right="-2"/>
              <w:jc w:val="center"/>
              <w:rPr>
                <w:rFonts w:hint="eastAsia" w:ascii="宋体" w:hAnsi="宋体"/>
                <w:color w:val="auto"/>
                <w:sz w:val="24"/>
                <w:highlight w:val="none"/>
              </w:rPr>
            </w:pPr>
          </w:p>
        </w:tc>
        <w:tc>
          <w:tcPr>
            <w:tcW w:w="1866" w:type="pct"/>
            <w:vAlign w:val="center"/>
          </w:tcPr>
          <w:p w14:paraId="5AFD2BBD">
            <w:pPr>
              <w:shd w:val="clear"/>
              <w:spacing w:after="0" w:line="360" w:lineRule="auto"/>
              <w:ind w:right="-2"/>
              <w:jc w:val="center"/>
              <w:rPr>
                <w:rFonts w:hint="eastAsia" w:ascii="宋体" w:hAnsi="宋体"/>
                <w:color w:val="auto"/>
                <w:sz w:val="24"/>
                <w:highlight w:val="none"/>
              </w:rPr>
            </w:pPr>
          </w:p>
        </w:tc>
        <w:tc>
          <w:tcPr>
            <w:tcW w:w="1298" w:type="pct"/>
            <w:vAlign w:val="center"/>
          </w:tcPr>
          <w:p w14:paraId="69BE5CCB">
            <w:pPr>
              <w:shd w:val="clear"/>
              <w:spacing w:after="0" w:line="360" w:lineRule="auto"/>
              <w:ind w:right="-2"/>
              <w:jc w:val="center"/>
              <w:rPr>
                <w:rFonts w:hint="eastAsia" w:ascii="宋体" w:hAnsi="宋体"/>
                <w:color w:val="auto"/>
                <w:sz w:val="24"/>
                <w:highlight w:val="none"/>
              </w:rPr>
            </w:pPr>
          </w:p>
        </w:tc>
        <w:tc>
          <w:tcPr>
            <w:tcW w:w="696" w:type="pct"/>
            <w:vAlign w:val="center"/>
          </w:tcPr>
          <w:p w14:paraId="0BE4D5A0">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5286AF33">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21FC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tcPr>
          <w:p w14:paraId="78A04058">
            <w:pPr>
              <w:shd w:val="clear"/>
              <w:spacing w:after="0" w:line="360" w:lineRule="auto"/>
              <w:ind w:right="-2"/>
              <w:jc w:val="center"/>
              <w:rPr>
                <w:rFonts w:hint="eastAsia" w:ascii="宋体" w:hAnsi="宋体"/>
                <w:color w:val="auto"/>
                <w:sz w:val="24"/>
                <w:highlight w:val="none"/>
              </w:rPr>
            </w:pPr>
          </w:p>
        </w:tc>
        <w:tc>
          <w:tcPr>
            <w:tcW w:w="1866" w:type="pct"/>
            <w:vAlign w:val="center"/>
          </w:tcPr>
          <w:p w14:paraId="3190EE6D">
            <w:pPr>
              <w:shd w:val="clear"/>
              <w:spacing w:after="0" w:line="360" w:lineRule="auto"/>
              <w:ind w:right="-2"/>
              <w:jc w:val="center"/>
              <w:rPr>
                <w:rFonts w:hint="eastAsia" w:ascii="宋体" w:hAnsi="宋体"/>
                <w:color w:val="auto"/>
                <w:sz w:val="24"/>
                <w:highlight w:val="none"/>
              </w:rPr>
            </w:pPr>
          </w:p>
        </w:tc>
        <w:tc>
          <w:tcPr>
            <w:tcW w:w="1298" w:type="pct"/>
            <w:vAlign w:val="center"/>
          </w:tcPr>
          <w:p w14:paraId="7DC8CAF5">
            <w:pPr>
              <w:shd w:val="clear"/>
              <w:spacing w:after="0" w:line="360" w:lineRule="auto"/>
              <w:ind w:right="-2"/>
              <w:jc w:val="center"/>
              <w:rPr>
                <w:rFonts w:hint="eastAsia" w:ascii="宋体" w:hAnsi="宋体"/>
                <w:color w:val="auto"/>
                <w:sz w:val="24"/>
                <w:highlight w:val="none"/>
              </w:rPr>
            </w:pPr>
          </w:p>
        </w:tc>
        <w:tc>
          <w:tcPr>
            <w:tcW w:w="696" w:type="pct"/>
            <w:vAlign w:val="center"/>
          </w:tcPr>
          <w:p w14:paraId="3C507687">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4D731CA8">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bl>
    <w:p w14:paraId="1031F8CF">
      <w:pPr>
        <w:shd w:val="clear"/>
        <w:spacing w:after="0" w:line="360" w:lineRule="auto"/>
        <w:ind w:right="-2"/>
        <w:rPr>
          <w:rFonts w:hint="eastAsia" w:ascii="宋体" w:hAnsi="宋体" w:cs="宋体"/>
          <w:color w:val="auto"/>
          <w:sz w:val="24"/>
          <w:highlight w:val="none"/>
        </w:rPr>
      </w:pPr>
    </w:p>
    <w:p w14:paraId="3DEBE0DC">
      <w:pPr>
        <w:shd w:val="clear"/>
        <w:spacing w:after="0" w:line="360" w:lineRule="auto"/>
        <w:ind w:right="-2"/>
        <w:rPr>
          <w:rFonts w:hint="eastAsia" w:ascii="宋体" w:hAnsi="宋体"/>
          <w:color w:val="auto"/>
          <w:highlight w:val="none"/>
        </w:rPr>
      </w:pPr>
      <w:r>
        <w:rPr>
          <w:rFonts w:hint="eastAsia" w:ascii="宋体" w:hAnsi="宋体"/>
          <w:color w:val="auto"/>
          <w:highlight w:val="none"/>
        </w:rPr>
        <w:t>注：（1）投标文件响应内容由投标人填写，</w:t>
      </w:r>
      <w:r>
        <w:rPr>
          <w:rFonts w:hint="eastAsia" w:ascii="宋体" w:hAnsi="宋体"/>
          <w:b/>
          <w:color w:val="auto"/>
          <w:highlight w:val="none"/>
        </w:rPr>
        <w:t>“★”号条款必须填写并响应，未响应“★”号条款的投标文件为无效</w:t>
      </w:r>
      <w:r>
        <w:rPr>
          <w:rFonts w:hint="eastAsia" w:ascii="宋体" w:hAnsi="宋体"/>
          <w:color w:val="auto"/>
          <w:highlight w:val="none"/>
        </w:rPr>
        <w:t>。</w:t>
      </w:r>
    </w:p>
    <w:p w14:paraId="48D56A2B">
      <w:pPr>
        <w:shd w:val="clear"/>
        <w:spacing w:after="0" w:line="360" w:lineRule="auto"/>
        <w:ind w:right="-2" w:firstLine="440" w:firstLineChars="200"/>
        <w:rPr>
          <w:rFonts w:hint="eastAsia" w:ascii="宋体" w:hAnsi="宋体"/>
          <w:color w:val="auto"/>
          <w:highlight w:val="none"/>
        </w:rPr>
      </w:pPr>
      <w:r>
        <w:rPr>
          <w:rFonts w:hint="eastAsia" w:ascii="宋体" w:hAnsi="宋体"/>
          <w:color w:val="auto"/>
          <w:highlight w:val="none"/>
        </w:rPr>
        <w:t>（2）“偏离程度”一栏根据“投标文件响应内容”与招标文件逐项对照的结果填写。偏离必须用“正偏离、负偏离、无偏离”三个名称中的一种进行标注。</w:t>
      </w:r>
    </w:p>
    <w:p w14:paraId="55D1E67E">
      <w:pPr>
        <w:shd w:val="clear"/>
        <w:spacing w:after="0" w:line="360" w:lineRule="auto"/>
        <w:ind w:right="-2" w:firstLine="440" w:firstLineChars="200"/>
        <w:rPr>
          <w:rFonts w:hint="eastAsia" w:ascii="宋体" w:hAnsi="宋体"/>
          <w:color w:val="auto"/>
          <w:highlight w:val="none"/>
        </w:rPr>
      </w:pPr>
      <w:r>
        <w:rPr>
          <w:rFonts w:hint="eastAsia" w:ascii="宋体" w:hAnsi="宋体"/>
          <w:color w:val="auto"/>
          <w:highlight w:val="none"/>
        </w:rPr>
        <w:t>（3）“偏离说明”一栏由投标人对偏离的情况做详细说明，可另附页并标注页码。</w:t>
      </w:r>
    </w:p>
    <w:p w14:paraId="6FB8F412">
      <w:pPr>
        <w:shd w:val="clear"/>
        <w:spacing w:after="0" w:line="360" w:lineRule="auto"/>
        <w:ind w:left="550" w:leftChars="200" w:right="-2" w:hanging="110" w:hangingChars="50"/>
        <w:rPr>
          <w:rFonts w:hint="eastAsia" w:ascii="宋体" w:hAnsi="宋体"/>
          <w:color w:val="auto"/>
          <w:highlight w:val="none"/>
        </w:rPr>
      </w:pPr>
      <w:r>
        <w:rPr>
          <w:rFonts w:hint="eastAsia" w:ascii="宋体" w:hAnsi="宋体"/>
          <w:color w:val="auto"/>
          <w:highlight w:val="none"/>
        </w:rPr>
        <w:t>（4）本表中填写的响应内容应与实际服务内容相一致。存在虚假行为的，供应商应依法承担有关法律责任。</w:t>
      </w:r>
    </w:p>
    <w:p w14:paraId="3326936B">
      <w:pPr>
        <w:shd w:val="clear"/>
        <w:adjustRightInd/>
        <w:snapToGrid/>
        <w:spacing w:line="220" w:lineRule="atLeast"/>
        <w:ind w:firstLine="442" w:firstLineChars="200"/>
        <w:rPr>
          <w:rFonts w:hint="eastAsia" w:ascii="宋体" w:hAnsi="宋体"/>
          <w:b/>
          <w:color w:val="auto"/>
          <w:highlight w:val="none"/>
        </w:rPr>
      </w:pPr>
      <w:r>
        <w:rPr>
          <w:rFonts w:hint="eastAsia" w:ascii="宋体" w:hAnsi="宋体"/>
          <w:b/>
          <w:color w:val="auto"/>
          <w:highlight w:val="none"/>
        </w:rPr>
        <w:t>（5）本文件应按规定签署，否则视为该文件无效。</w:t>
      </w:r>
    </w:p>
    <w:p w14:paraId="01C2601D">
      <w:pPr>
        <w:shd w:val="clear"/>
        <w:spacing w:after="0" w:line="360" w:lineRule="auto"/>
        <w:ind w:right="-2"/>
        <w:rPr>
          <w:rFonts w:hint="eastAsia" w:ascii="宋体" w:hAnsi="宋体" w:cs="宋体"/>
          <w:color w:val="auto"/>
          <w:sz w:val="24"/>
          <w:highlight w:val="none"/>
        </w:rPr>
      </w:pPr>
    </w:p>
    <w:p w14:paraId="68696F76">
      <w:pPr>
        <w:shd w:val="clear"/>
        <w:spacing w:after="0" w:line="360" w:lineRule="auto"/>
        <w:ind w:right="-2"/>
        <w:rPr>
          <w:rFonts w:hint="eastAsia" w:ascii="宋体" w:hAnsi="宋体" w:cs="宋体"/>
          <w:color w:val="auto"/>
          <w:sz w:val="24"/>
          <w:highlight w:val="none"/>
        </w:rPr>
      </w:pPr>
    </w:p>
    <w:p w14:paraId="3C60019C">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rPr>
        <w:t>法定代表人(签字或盖章)或被授权人（签字）：</w:t>
      </w:r>
      <w:r>
        <w:rPr>
          <w:rFonts w:hint="eastAsia" w:ascii="宋体" w:hAnsi="宋体"/>
          <w:color w:val="auto"/>
          <w:sz w:val="24"/>
          <w:highlight w:val="none"/>
          <w:u w:val="single"/>
        </w:rPr>
        <w:t xml:space="preserve">                                </w:t>
      </w:r>
    </w:p>
    <w:p w14:paraId="0F3B5293">
      <w:pPr>
        <w:widowControl w:val="0"/>
        <w:shd w:val="clear"/>
        <w:tabs>
          <w:tab w:val="left" w:pos="360"/>
        </w:tabs>
        <w:adjustRightInd/>
        <w:snapToGrid/>
        <w:spacing w:after="0"/>
        <w:ind w:right="-2"/>
        <w:jc w:val="both"/>
        <w:rPr>
          <w:rFonts w:hint="eastAsia" w:ascii="宋体" w:hAnsi="宋体"/>
          <w:color w:val="auto"/>
          <w:sz w:val="24"/>
          <w:highlight w:val="none"/>
        </w:rPr>
      </w:pPr>
    </w:p>
    <w:p w14:paraId="58EC315B">
      <w:pPr>
        <w:shd w:val="clear"/>
        <w:adjustRightInd/>
        <w:snapToGrid/>
        <w:spacing w:line="220" w:lineRule="atLeast"/>
        <w:rPr>
          <w:rFonts w:hint="eastAsia" w:ascii="宋体" w:hAnsi="宋体"/>
          <w:color w:val="auto"/>
          <w:sz w:val="36"/>
          <w:szCs w:val="36"/>
          <w:highlight w:val="none"/>
        </w:rPr>
      </w:pPr>
      <w:r>
        <w:rPr>
          <w:rFonts w:hint="eastAsia" w:ascii="宋体" w:hAnsi="宋体"/>
          <w:color w:val="auto"/>
          <w:sz w:val="24"/>
          <w:highlight w:val="none"/>
        </w:rPr>
        <w:t>投标人公章：</w:t>
      </w:r>
      <w:r>
        <w:rPr>
          <w:rFonts w:hint="eastAsia" w:ascii="宋体" w:hAnsi="宋体"/>
          <w:color w:val="auto"/>
          <w:sz w:val="24"/>
          <w:highlight w:val="none"/>
          <w:u w:val="single"/>
        </w:rPr>
        <w:t xml:space="preserve">                      </w:t>
      </w:r>
      <w:r>
        <w:rPr>
          <w:rFonts w:ascii="宋体" w:hAnsi="宋体"/>
          <w:color w:val="auto"/>
          <w:sz w:val="36"/>
          <w:szCs w:val="36"/>
          <w:highlight w:val="none"/>
        </w:rPr>
        <w:br w:type="page"/>
      </w:r>
    </w:p>
    <w:p w14:paraId="5E507372">
      <w:pPr>
        <w:shd w:val="clear"/>
        <w:spacing w:after="0"/>
        <w:ind w:right="-2"/>
        <w:jc w:val="center"/>
        <w:rPr>
          <w:rFonts w:hint="eastAsia" w:ascii="宋体" w:hAnsi="宋体"/>
          <w:b/>
          <w:color w:val="auto"/>
          <w:sz w:val="36"/>
          <w:szCs w:val="36"/>
          <w:highlight w:val="none"/>
        </w:rPr>
      </w:pPr>
      <w:r>
        <w:rPr>
          <w:rFonts w:hint="eastAsia" w:ascii="宋体" w:hAnsi="宋体"/>
          <w:b/>
          <w:color w:val="auto"/>
          <w:sz w:val="36"/>
          <w:szCs w:val="36"/>
          <w:highlight w:val="none"/>
        </w:rPr>
        <w:t>五、资格性及符合性证明文件</w:t>
      </w:r>
    </w:p>
    <w:p w14:paraId="3FBA99E8">
      <w:pPr>
        <w:shd w:val="clear"/>
        <w:spacing w:after="0"/>
        <w:ind w:right="-2"/>
        <w:jc w:val="center"/>
        <w:rPr>
          <w:rFonts w:hint="eastAsia" w:ascii="宋体" w:hAnsi="宋体"/>
          <w:color w:val="auto"/>
          <w:sz w:val="24"/>
          <w:highlight w:val="none"/>
        </w:rPr>
      </w:pPr>
    </w:p>
    <w:p w14:paraId="72D42824">
      <w:pPr>
        <w:shd w:val="clear"/>
        <w:spacing w:after="0"/>
        <w:ind w:right="-2"/>
        <w:jc w:val="center"/>
        <w:rPr>
          <w:rFonts w:hint="eastAsia" w:ascii="宋体" w:hAnsi="宋体"/>
          <w:color w:val="auto"/>
          <w:sz w:val="24"/>
          <w:highlight w:val="none"/>
        </w:rPr>
      </w:pPr>
      <w:r>
        <w:rPr>
          <w:rFonts w:hint="eastAsia" w:ascii="宋体" w:hAnsi="宋体"/>
          <w:color w:val="auto"/>
          <w:sz w:val="24"/>
          <w:highlight w:val="none"/>
        </w:rPr>
        <w:t>（一）法人或者其他组织的营业执照等主体证明文件或自然人的身份证明（自然人身份证明仅限在自然人作为投标主体时使用）复印件</w:t>
      </w:r>
    </w:p>
    <w:p w14:paraId="53094495">
      <w:pPr>
        <w:shd w:val="clear"/>
        <w:spacing w:after="0"/>
        <w:ind w:right="-2"/>
        <w:jc w:val="center"/>
        <w:rPr>
          <w:rFonts w:hint="eastAsia" w:ascii="宋体" w:hAnsi="宋体"/>
          <w:color w:val="auto"/>
          <w:sz w:val="24"/>
          <w:highlight w:val="none"/>
        </w:rPr>
      </w:pPr>
    </w:p>
    <w:p w14:paraId="52082B59">
      <w:pPr>
        <w:shd w:val="clear"/>
        <w:spacing w:after="0"/>
        <w:ind w:right="-2"/>
        <w:jc w:val="center"/>
        <w:rPr>
          <w:rFonts w:hint="eastAsia" w:ascii="宋体" w:hAnsi="宋体"/>
          <w:color w:val="auto"/>
          <w:sz w:val="24"/>
          <w:highlight w:val="none"/>
        </w:rPr>
      </w:pPr>
    </w:p>
    <w:p w14:paraId="42DA4D2F">
      <w:pPr>
        <w:shd w:val="clear"/>
        <w:spacing w:after="0"/>
        <w:ind w:right="-2"/>
        <w:jc w:val="center"/>
        <w:rPr>
          <w:rFonts w:hint="eastAsia" w:ascii="宋体" w:hAnsi="宋体"/>
          <w:color w:val="auto"/>
          <w:sz w:val="24"/>
          <w:highlight w:val="none"/>
        </w:rPr>
      </w:pPr>
    </w:p>
    <w:p w14:paraId="3EA9EDFC">
      <w:pPr>
        <w:shd w:val="clear"/>
        <w:spacing w:after="0"/>
        <w:ind w:right="-2"/>
        <w:jc w:val="center"/>
        <w:rPr>
          <w:rFonts w:hint="eastAsia" w:ascii="宋体" w:hAnsi="宋体"/>
          <w:color w:val="auto"/>
          <w:sz w:val="24"/>
          <w:highlight w:val="none"/>
        </w:rPr>
      </w:pPr>
    </w:p>
    <w:p w14:paraId="6E1E8D2F">
      <w:pPr>
        <w:shd w:val="clear"/>
        <w:adjustRightInd/>
        <w:snapToGrid/>
        <w:spacing w:line="220" w:lineRule="atLeast"/>
        <w:rPr>
          <w:rFonts w:hint="eastAsia" w:ascii="宋体" w:hAnsi="宋体" w:cs="宋体-18030"/>
          <w:color w:val="auto"/>
          <w:sz w:val="24"/>
          <w:highlight w:val="none"/>
        </w:rPr>
      </w:pPr>
      <w:r>
        <w:rPr>
          <w:rFonts w:ascii="宋体" w:hAnsi="宋体" w:cs="宋体-18030"/>
          <w:color w:val="auto"/>
          <w:sz w:val="24"/>
          <w:highlight w:val="none"/>
        </w:rPr>
        <w:br w:type="page"/>
      </w:r>
    </w:p>
    <w:p w14:paraId="1037A945">
      <w:pPr>
        <w:shd w:val="clear"/>
        <w:spacing w:after="0" w:line="360" w:lineRule="auto"/>
        <w:ind w:right="-2"/>
        <w:jc w:val="center"/>
        <w:rPr>
          <w:rFonts w:hint="eastAsia" w:ascii="宋体" w:hAnsi="宋体"/>
          <w:b/>
          <w:color w:val="auto"/>
          <w:sz w:val="32"/>
          <w:highlight w:val="none"/>
        </w:rPr>
      </w:pPr>
      <w:r>
        <w:rPr>
          <w:rFonts w:hint="eastAsia" w:ascii="宋体" w:hAnsi="宋体" w:cs="宋体-18030"/>
          <w:b/>
          <w:color w:val="auto"/>
          <w:sz w:val="32"/>
          <w:highlight w:val="none"/>
        </w:rPr>
        <w:t>（二）法定代表人（或非法人组织负责人）身份证明书</w:t>
      </w:r>
    </w:p>
    <w:p w14:paraId="3F5FC985">
      <w:pPr>
        <w:shd w:val="clear"/>
        <w:spacing w:after="0" w:line="360" w:lineRule="auto"/>
        <w:ind w:right="-22" w:rightChars="-10"/>
        <w:jc w:val="center"/>
        <w:rPr>
          <w:rFonts w:hint="eastAsia" w:ascii="仿宋_GB2312" w:hAnsi="仿宋_GB2312" w:eastAsia="仿宋_GB2312" w:cs="仿宋_GB2312"/>
          <w:b/>
          <w:color w:val="auto"/>
          <w:sz w:val="32"/>
          <w:szCs w:val="32"/>
          <w:highlight w:val="none"/>
        </w:rPr>
      </w:pPr>
    </w:p>
    <w:p w14:paraId="3EEE40C7">
      <w:pPr>
        <w:shd w:val="clear"/>
        <w:spacing w:after="0" w:line="360" w:lineRule="auto"/>
        <w:ind w:firstLine="960" w:firstLineChars="400"/>
        <w:rPr>
          <w:rFonts w:hint="eastAsia" w:ascii="宋体" w:hAnsi="宋体" w:cs="宋体-18030"/>
          <w:color w:val="auto"/>
          <w:sz w:val="24"/>
          <w:highlight w:val="none"/>
        </w:rPr>
      </w:pPr>
      <w:r>
        <w:rPr>
          <w:rFonts w:hint="eastAsia" w:ascii="宋体" w:hAnsi="宋体" w:cs="宋体-18030"/>
          <w:color w:val="auto"/>
          <w:sz w:val="24"/>
          <w:highlight w:val="none"/>
        </w:rPr>
        <w:t>姓名：</w:t>
      </w:r>
      <w:r>
        <w:rPr>
          <w:rFonts w:hint="eastAsia" w:ascii="宋体" w:hAnsi="宋体" w:cs="宋体-18030"/>
          <w:color w:val="auto"/>
          <w:sz w:val="24"/>
          <w:highlight w:val="none"/>
          <w:u w:val="single"/>
        </w:rPr>
        <w:t xml:space="preserve">        ，</w:t>
      </w:r>
      <w:r>
        <w:rPr>
          <w:rFonts w:hint="eastAsia" w:ascii="宋体" w:hAnsi="宋体" w:cs="宋体-18030"/>
          <w:color w:val="auto"/>
          <w:sz w:val="24"/>
          <w:highlight w:val="none"/>
        </w:rPr>
        <w:t>性别：</w:t>
      </w:r>
      <w:r>
        <w:rPr>
          <w:rFonts w:hint="eastAsia" w:ascii="宋体" w:hAnsi="宋体" w:cs="宋体-18030"/>
          <w:color w:val="auto"/>
          <w:sz w:val="24"/>
          <w:highlight w:val="none"/>
          <w:u w:val="single"/>
        </w:rPr>
        <w:t xml:space="preserve">       </w:t>
      </w:r>
      <w:r>
        <w:rPr>
          <w:rFonts w:hint="eastAsia" w:ascii="宋体" w:hAnsi="宋体" w:cs="宋体-18030"/>
          <w:color w:val="auto"/>
          <w:sz w:val="24"/>
          <w:highlight w:val="none"/>
        </w:rPr>
        <w:t xml:space="preserve"> ，出生日期：</w:t>
      </w:r>
      <w:r>
        <w:rPr>
          <w:rFonts w:hint="eastAsia" w:ascii="宋体" w:hAnsi="宋体" w:cs="宋体-18030"/>
          <w:color w:val="auto"/>
          <w:sz w:val="24"/>
          <w:highlight w:val="none"/>
          <w:u w:val="single"/>
        </w:rPr>
        <w:t xml:space="preserve">                       ，</w:t>
      </w:r>
      <w:r>
        <w:rPr>
          <w:rFonts w:hint="eastAsia" w:ascii="宋体" w:hAnsi="宋体" w:cs="宋体-18030"/>
          <w:color w:val="auto"/>
          <w:sz w:val="24"/>
          <w:highlight w:val="none"/>
        </w:rPr>
        <w:t>现任职务：</w:t>
      </w:r>
      <w:r>
        <w:rPr>
          <w:rFonts w:hint="eastAsia" w:ascii="宋体" w:hAnsi="宋体" w:cs="宋体-18030"/>
          <w:color w:val="auto"/>
          <w:sz w:val="24"/>
          <w:highlight w:val="none"/>
          <w:u w:val="single"/>
        </w:rPr>
        <w:t xml:space="preserve">               ，</w:t>
      </w:r>
      <w:r>
        <w:rPr>
          <w:rFonts w:hint="eastAsia" w:ascii="宋体" w:hAnsi="宋体" w:cs="宋体-18030"/>
          <w:color w:val="auto"/>
          <w:sz w:val="24"/>
          <w:highlight w:val="none"/>
        </w:rPr>
        <w:t>系</w:t>
      </w:r>
      <w:r>
        <w:rPr>
          <w:rFonts w:hint="eastAsia" w:ascii="宋体" w:hAnsi="宋体" w:cs="宋体-18030"/>
          <w:color w:val="auto"/>
          <w:sz w:val="24"/>
          <w:highlight w:val="none"/>
          <w:u w:val="single"/>
        </w:rPr>
        <w:t xml:space="preserve">                 （投标人名称）</w:t>
      </w:r>
      <w:r>
        <w:rPr>
          <w:rFonts w:hint="eastAsia" w:ascii="宋体" w:hAnsi="宋体" w:cs="宋体-18030"/>
          <w:color w:val="auto"/>
          <w:sz w:val="24"/>
          <w:highlight w:val="none"/>
        </w:rPr>
        <w:t>的法定代表人（或非法人组织负责人）。</w:t>
      </w:r>
    </w:p>
    <w:p w14:paraId="26F50C34">
      <w:pPr>
        <w:shd w:val="clear"/>
        <w:spacing w:after="0" w:line="360" w:lineRule="auto"/>
        <w:rPr>
          <w:rFonts w:hint="eastAsia" w:ascii="宋体" w:hAnsi="宋体" w:cs="宋体-18030"/>
          <w:color w:val="auto"/>
          <w:sz w:val="24"/>
          <w:highlight w:val="none"/>
        </w:rPr>
      </w:pPr>
      <w:r>
        <w:rPr>
          <w:rFonts w:hint="eastAsia" w:ascii="宋体" w:hAnsi="宋体" w:cs="宋体-18030"/>
          <w:color w:val="auto"/>
          <w:sz w:val="24"/>
          <w:highlight w:val="none"/>
        </w:rPr>
        <w:t xml:space="preserve">            </w:t>
      </w:r>
    </w:p>
    <w:p w14:paraId="5D92B6C1">
      <w:pPr>
        <w:shd w:val="clear"/>
        <w:spacing w:after="0" w:line="360" w:lineRule="auto"/>
        <w:ind w:firstLine="840" w:firstLineChars="350"/>
        <w:rPr>
          <w:rFonts w:hint="eastAsia" w:ascii="宋体" w:hAnsi="宋体" w:cs="宋体-18030"/>
          <w:color w:val="auto"/>
          <w:sz w:val="24"/>
          <w:highlight w:val="none"/>
        </w:rPr>
      </w:pPr>
      <w:r>
        <w:rPr>
          <w:rFonts w:hint="eastAsia" w:ascii="宋体" w:hAnsi="宋体" w:cs="宋体-18030"/>
          <w:color w:val="auto"/>
          <w:sz w:val="24"/>
          <w:highlight w:val="none"/>
        </w:rPr>
        <w:t>特此证明。</w:t>
      </w:r>
    </w:p>
    <w:p w14:paraId="1CEE642E">
      <w:pPr>
        <w:shd w:val="clear"/>
        <w:spacing w:after="0" w:line="360" w:lineRule="auto"/>
        <w:rPr>
          <w:rFonts w:hint="eastAsia" w:ascii="仿宋_GB2312" w:hAnsi="仿宋_GB2312" w:eastAsia="仿宋_GB2312" w:cs="仿宋_GB2312"/>
          <w:color w:val="auto"/>
          <w:szCs w:val="21"/>
          <w:highlight w:val="none"/>
        </w:rPr>
      </w:pPr>
    </w:p>
    <w:p w14:paraId="04B9F564">
      <w:pPr>
        <w:shd w:val="clear"/>
        <w:spacing w:after="0" w:line="360" w:lineRule="auto"/>
        <w:rPr>
          <w:rFonts w:hint="eastAsia" w:ascii="仿宋_GB2312" w:hAnsi="仿宋_GB2312" w:eastAsia="仿宋_GB2312" w:cs="仿宋_GB2312"/>
          <w:color w:val="auto"/>
          <w:szCs w:val="21"/>
          <w:highlight w:val="none"/>
        </w:rPr>
      </w:pPr>
    </w:p>
    <w:p w14:paraId="47B9A2A0">
      <w:pPr>
        <w:shd w:val="clear"/>
        <w:spacing w:after="0" w:line="360" w:lineRule="auto"/>
        <w:rPr>
          <w:rFonts w:hint="eastAsia" w:ascii="仿宋_GB2312" w:hAnsi="仿宋_GB2312" w:eastAsia="仿宋_GB2312" w:cs="仿宋_GB2312"/>
          <w:color w:val="auto"/>
          <w:szCs w:val="21"/>
          <w:highlight w:val="none"/>
        </w:rPr>
      </w:pPr>
    </w:p>
    <w:tbl>
      <w:tblPr>
        <w:tblStyle w:val="17"/>
        <w:tblW w:w="8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8"/>
      </w:tblGrid>
      <w:tr w14:paraId="2F46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8228" w:type="dxa"/>
          </w:tcPr>
          <w:p w14:paraId="40016318">
            <w:pPr>
              <w:shd w:val="clear"/>
              <w:spacing w:after="0" w:line="360" w:lineRule="auto"/>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（※法定代表人（或非法人组织负责人）身份证正、反面复印件※）</w:t>
            </w:r>
          </w:p>
        </w:tc>
      </w:tr>
    </w:tbl>
    <w:p w14:paraId="76837F1B">
      <w:pPr>
        <w:shd w:val="clear"/>
        <w:spacing w:after="0" w:line="360" w:lineRule="auto"/>
        <w:rPr>
          <w:rFonts w:hint="eastAsia" w:ascii="仿宋_GB2312" w:hAnsi="仿宋_GB2312" w:eastAsia="仿宋_GB2312" w:cs="仿宋_GB2312"/>
          <w:color w:val="auto"/>
          <w:szCs w:val="21"/>
          <w:highlight w:val="none"/>
        </w:rPr>
      </w:pPr>
    </w:p>
    <w:p w14:paraId="15D81DD6">
      <w:pPr>
        <w:shd w:val="clear"/>
        <w:spacing w:after="0" w:line="360" w:lineRule="auto"/>
        <w:rPr>
          <w:rFonts w:hint="eastAsia" w:ascii="仿宋_GB2312" w:hAnsi="仿宋_GB2312" w:eastAsia="仿宋_GB2312" w:cs="仿宋_GB2312"/>
          <w:color w:val="auto"/>
          <w:szCs w:val="21"/>
          <w:highlight w:val="none"/>
        </w:rPr>
      </w:pPr>
    </w:p>
    <w:p w14:paraId="15EABAC0">
      <w:pPr>
        <w:shd w:val="clear"/>
        <w:spacing w:after="0" w:line="360" w:lineRule="auto"/>
        <w:rPr>
          <w:rFonts w:hint="eastAsia" w:ascii="仿宋_GB2312" w:hAnsi="仿宋_GB2312" w:eastAsia="仿宋_GB2312" w:cs="仿宋_GB2312"/>
          <w:color w:val="auto"/>
          <w:highlight w:val="none"/>
          <w:u w:val="single"/>
        </w:rPr>
      </w:pPr>
      <w:r>
        <w:rPr>
          <w:rFonts w:hint="eastAsia" w:ascii="微软雅黑" w:hAnsi="微软雅黑" w:eastAsia="微软雅黑"/>
          <w:color w:val="auto"/>
          <w:sz w:val="24"/>
          <w:highlight w:val="none"/>
        </w:rPr>
        <w:t>投标人公章</w:t>
      </w:r>
      <w:r>
        <w:rPr>
          <w:rFonts w:hint="eastAsia" w:ascii="微软雅黑" w:hAnsi="微软雅黑" w:eastAsia="微软雅黑"/>
          <w:color w:val="auto"/>
          <w:sz w:val="24"/>
          <w:highlight w:val="none"/>
          <w:u w:val="single"/>
        </w:rPr>
        <w:t xml:space="preserve">：                                    </w:t>
      </w:r>
    </w:p>
    <w:p w14:paraId="67A66FE8">
      <w:pPr>
        <w:shd w:val="clear"/>
        <w:spacing w:after="0" w:line="360" w:lineRule="auto"/>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日期</w:t>
      </w:r>
      <w:r>
        <w:rPr>
          <w:rFonts w:hint="eastAsia" w:ascii="微软雅黑" w:hAnsi="微软雅黑" w:eastAsia="微软雅黑"/>
          <w:color w:val="auto"/>
          <w:sz w:val="24"/>
          <w:highlight w:val="none"/>
          <w:u w:val="single"/>
        </w:rPr>
        <w:t xml:space="preserve">：                                   </w:t>
      </w:r>
    </w:p>
    <w:p w14:paraId="782F238D">
      <w:pPr>
        <w:shd w:val="clear"/>
        <w:spacing w:after="0" w:line="360" w:lineRule="auto"/>
        <w:ind w:right="-2"/>
        <w:jc w:val="center"/>
        <w:rPr>
          <w:rFonts w:hint="eastAsia" w:ascii="宋体" w:hAnsi="宋体" w:cs="宋体-18030"/>
          <w:color w:val="auto"/>
          <w:sz w:val="24"/>
          <w:highlight w:val="none"/>
        </w:rPr>
      </w:pPr>
    </w:p>
    <w:p w14:paraId="3EC833AD">
      <w:pPr>
        <w:shd w:val="clear"/>
        <w:adjustRightInd/>
        <w:snapToGrid/>
        <w:spacing w:after="0" w:line="360" w:lineRule="auto"/>
        <w:rPr>
          <w:rFonts w:hint="eastAsia" w:asciiTheme="minorEastAsia" w:hAnsiTheme="minorEastAsia" w:eastAsiaTheme="minorEastAsia"/>
          <w:b/>
          <w:color w:val="auto"/>
          <w:sz w:val="24"/>
          <w:highlight w:val="none"/>
        </w:rPr>
      </w:pPr>
    </w:p>
    <w:p w14:paraId="7B48BC2C">
      <w:pPr>
        <w:shd w:val="clear"/>
        <w:spacing w:after="0" w:line="360" w:lineRule="auto"/>
        <w:ind w:right="-2" w:firstLine="723" w:firstLineChars="300"/>
        <w:rPr>
          <w:rFonts w:hint="eastAsia" w:ascii="仿宋_GB2312" w:hAnsi="仿宋_GB2312" w:eastAsia="仿宋_GB2312" w:cs="仿宋_GB2312"/>
          <w:color w:val="auto"/>
          <w:szCs w:val="21"/>
          <w:highlight w:val="none"/>
        </w:rPr>
      </w:pPr>
      <w:r>
        <w:rPr>
          <w:rFonts w:hint="eastAsia" w:asciiTheme="minorEastAsia" w:hAnsiTheme="minorEastAsia" w:eastAsiaTheme="minorEastAsia"/>
          <w:b/>
          <w:color w:val="auto"/>
          <w:sz w:val="24"/>
          <w:highlight w:val="none"/>
        </w:rPr>
        <w:t>注</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本文件应按规定签署，否则视为该文件无效。</w:t>
      </w:r>
      <w:r>
        <w:rPr>
          <w:rFonts w:hint="eastAsia" w:ascii="仿宋_GB2312" w:hAnsi="仿宋_GB2312" w:eastAsia="仿宋_GB2312" w:cs="仿宋_GB2312"/>
          <w:color w:val="auto"/>
          <w:szCs w:val="21"/>
          <w:highlight w:val="none"/>
        </w:rPr>
        <w:t>（自然人投标的无需提供）</w:t>
      </w:r>
    </w:p>
    <w:p w14:paraId="71665B67">
      <w:pPr>
        <w:shd w:val="clear"/>
        <w:spacing w:after="0" w:line="360" w:lineRule="auto"/>
        <w:ind w:right="-2" w:firstLine="720" w:firstLineChars="300"/>
        <w:rPr>
          <w:rFonts w:hint="eastAsia" w:ascii="宋体" w:hAnsi="宋体"/>
          <w:b/>
          <w:color w:val="auto"/>
          <w:sz w:val="24"/>
          <w:highlight w:val="none"/>
        </w:rPr>
      </w:pPr>
      <w:r>
        <w:rPr>
          <w:rFonts w:ascii="宋体" w:hAnsi="宋体"/>
          <w:color w:val="auto"/>
          <w:sz w:val="24"/>
          <w:highlight w:val="none"/>
        </w:rPr>
        <w:br w:type="page"/>
      </w:r>
    </w:p>
    <w:p w14:paraId="1DF5F80E">
      <w:pPr>
        <w:shd w:val="clear"/>
        <w:jc w:val="center"/>
        <w:rPr>
          <w:rFonts w:hint="eastAsia" w:asciiTheme="minorEastAsia" w:hAnsiTheme="minorEastAsia" w:eastAsiaTheme="minorEastAsia"/>
          <w:b/>
          <w:bCs/>
          <w:color w:val="auto"/>
          <w:sz w:val="32"/>
          <w:szCs w:val="32"/>
          <w:highlight w:val="none"/>
        </w:rPr>
      </w:pPr>
      <w:r>
        <w:rPr>
          <w:rFonts w:hint="eastAsia" w:asciiTheme="minorEastAsia" w:hAnsiTheme="minorEastAsia" w:eastAsiaTheme="minorEastAsia"/>
          <w:b/>
          <w:bCs/>
          <w:color w:val="auto"/>
          <w:sz w:val="32"/>
          <w:szCs w:val="32"/>
          <w:highlight w:val="none"/>
        </w:rPr>
        <w:t>（三）法定代表人授权书</w:t>
      </w:r>
    </w:p>
    <w:p w14:paraId="51ECA0EF">
      <w:pPr>
        <w:shd w:val="clear"/>
        <w:rPr>
          <w:rFonts w:ascii="仿宋_GB2312" w:eastAsia="仿宋_GB2312"/>
          <w:color w:val="auto"/>
          <w:sz w:val="32"/>
          <w:szCs w:val="32"/>
          <w:highlight w:val="none"/>
        </w:rPr>
      </w:pPr>
    </w:p>
    <w:p w14:paraId="6620A640">
      <w:pPr>
        <w:shd w:val="clear"/>
        <w:spacing w:line="360" w:lineRule="auto"/>
        <w:ind w:firstLine="544" w:firstLineChars="227"/>
        <w:rPr>
          <w:rFonts w:hint="eastAsia" w:cs="宋体" w:asciiTheme="minorEastAsia" w:hAnsiTheme="minorEastAsia" w:eastAsiaTheme="minorEastAsia"/>
          <w:color w:val="auto"/>
          <w:spacing w:val="6"/>
          <w:sz w:val="24"/>
          <w:highlight w:val="none"/>
        </w:rPr>
      </w:pPr>
      <w:r>
        <w:rPr>
          <w:rFonts w:hint="eastAsia" w:asciiTheme="minorEastAsia" w:hAnsiTheme="minorEastAsia" w:eastAsiaTheme="minorEastAsia"/>
          <w:bCs/>
          <w:color w:val="auto"/>
          <w:sz w:val="24"/>
          <w:highlight w:val="none"/>
        </w:rPr>
        <w:t>兹授权</w:t>
      </w:r>
      <w:r>
        <w:rPr>
          <w:rFonts w:hint="eastAsia" w:asciiTheme="minorEastAsia" w:hAnsiTheme="minorEastAsia" w:eastAsiaTheme="minorEastAsia"/>
          <w:bCs/>
          <w:color w:val="auto"/>
          <w:sz w:val="24"/>
          <w:highlight w:val="none"/>
          <w:u w:val="single"/>
        </w:rPr>
        <w:t xml:space="preserve">          (被授权人姓名)               (身份</w:t>
      </w:r>
      <w:r>
        <w:rPr>
          <w:rFonts w:asciiTheme="minorEastAsia" w:hAnsiTheme="minorEastAsia" w:eastAsiaTheme="minorEastAsia"/>
          <w:bCs/>
          <w:color w:val="auto"/>
          <w:sz w:val="24"/>
          <w:highlight w:val="none"/>
          <w:u w:val="single"/>
        </w:rPr>
        <w:t>证号</w:t>
      </w:r>
      <w:r>
        <w:rPr>
          <w:rFonts w:hint="eastAsia" w:asciiTheme="minorEastAsia" w:hAnsiTheme="minorEastAsia" w:eastAsiaTheme="minorEastAsia"/>
          <w:bCs/>
          <w:color w:val="auto"/>
          <w:sz w:val="24"/>
          <w:highlight w:val="none"/>
          <w:u w:val="single"/>
        </w:rPr>
        <w:t>）     （联系电话座机、手机）</w:t>
      </w:r>
      <w:r>
        <w:rPr>
          <w:rFonts w:hint="eastAsia" w:asciiTheme="minorEastAsia" w:hAnsiTheme="minorEastAsia" w:eastAsiaTheme="minorEastAsia"/>
          <w:bCs/>
          <w:color w:val="auto"/>
          <w:sz w:val="24"/>
          <w:highlight w:val="none"/>
        </w:rPr>
        <w:t>为我方委托代理人，参加</w:t>
      </w:r>
      <w:r>
        <w:rPr>
          <w:rFonts w:hint="eastAsia" w:asciiTheme="minorEastAsia" w:hAnsiTheme="minorEastAsia" w:eastAsiaTheme="minorEastAsia"/>
          <w:color w:val="auto"/>
          <w:sz w:val="24"/>
          <w:highlight w:val="none"/>
          <w:u w:val="single"/>
        </w:rPr>
        <w:t xml:space="preserve">                （项目名称、</w:t>
      </w:r>
      <w:r>
        <w:rPr>
          <w:rFonts w:asciiTheme="minorEastAsia" w:hAnsiTheme="minorEastAsia" w:eastAsiaTheme="minorEastAsia"/>
          <w:color w:val="auto"/>
          <w:sz w:val="24"/>
          <w:highlight w:val="none"/>
          <w:u w:val="single"/>
        </w:rPr>
        <w:t>包号</w:t>
      </w:r>
      <w:r>
        <w:rPr>
          <w:rFonts w:hint="eastAsia" w:asciiTheme="minorEastAsia" w:hAnsiTheme="minorEastAsia" w:eastAsiaTheme="minorEastAsia"/>
          <w:color w:val="auto"/>
          <w:sz w:val="24"/>
          <w:highlight w:val="none"/>
          <w:u w:val="single"/>
        </w:rPr>
        <w:t>）     （项目编号)</w:t>
      </w:r>
      <w:r>
        <w:rPr>
          <w:rFonts w:hint="eastAsia" w:asciiTheme="minorEastAsia" w:hAnsiTheme="minorEastAsia" w:eastAsiaTheme="minorEastAsia"/>
          <w:color w:val="auto"/>
          <w:sz w:val="24"/>
          <w:highlight w:val="none"/>
        </w:rPr>
        <w:t>的投标活动，并以本公司名义处理一切与此次投标有关的事宜。</w:t>
      </w:r>
      <w:r>
        <w:rPr>
          <w:rFonts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rPr>
        <w:t>此</w:t>
      </w:r>
      <w:r>
        <w:rPr>
          <w:rFonts w:asciiTheme="minorEastAsia" w:hAnsiTheme="minorEastAsia" w:eastAsiaTheme="minorEastAsia"/>
          <w:color w:val="auto"/>
          <w:sz w:val="24"/>
          <w:highlight w:val="none"/>
        </w:rPr>
        <w:t>次</w:t>
      </w:r>
      <w:r>
        <w:rPr>
          <w:rFonts w:hint="eastAsia" w:asciiTheme="minorEastAsia" w:hAnsiTheme="minorEastAsia" w:eastAsiaTheme="minorEastAsia"/>
          <w:color w:val="auto"/>
          <w:sz w:val="24"/>
          <w:highlight w:val="none"/>
        </w:rPr>
        <w:t>投标</w:t>
      </w:r>
      <w:r>
        <w:rPr>
          <w:rFonts w:asciiTheme="minorEastAsia" w:hAnsiTheme="minorEastAsia" w:eastAsiaTheme="minorEastAsia"/>
          <w:color w:val="auto"/>
          <w:sz w:val="24"/>
          <w:highlight w:val="none"/>
        </w:rPr>
        <w:t>过程</w:t>
      </w:r>
      <w:r>
        <w:rPr>
          <w:rFonts w:hint="eastAsia" w:asciiTheme="minorEastAsia" w:hAnsiTheme="minorEastAsia" w:eastAsiaTheme="minorEastAsia"/>
          <w:color w:val="auto"/>
          <w:sz w:val="24"/>
          <w:highlight w:val="none"/>
        </w:rPr>
        <w:t>中，</w:t>
      </w:r>
      <w:r>
        <w:rPr>
          <w:rFonts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rPr>
        <w:t>公</w:t>
      </w:r>
      <w:r>
        <w:rPr>
          <w:rFonts w:asciiTheme="minorEastAsia" w:hAnsiTheme="minorEastAsia" w:eastAsiaTheme="minorEastAsia"/>
          <w:color w:val="auto"/>
          <w:sz w:val="24"/>
          <w:highlight w:val="none"/>
        </w:rPr>
        <w:t>司将承担该</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人</w:t>
      </w:r>
      <w:r>
        <w:rPr>
          <w:rFonts w:hint="eastAsia" w:asciiTheme="minorEastAsia" w:hAnsiTheme="minorEastAsia" w:eastAsiaTheme="minorEastAsia"/>
          <w:color w:val="auto"/>
          <w:sz w:val="24"/>
          <w:highlight w:val="none"/>
        </w:rPr>
        <w:t>行</w:t>
      </w:r>
      <w:r>
        <w:rPr>
          <w:rFonts w:asciiTheme="minorEastAsia" w:hAnsiTheme="minorEastAsia" w:eastAsiaTheme="minorEastAsia"/>
          <w:color w:val="auto"/>
          <w:sz w:val="24"/>
          <w:highlight w:val="none"/>
        </w:rPr>
        <w:t>为的全部法律</w:t>
      </w:r>
      <w:r>
        <w:rPr>
          <w:rFonts w:hint="eastAsia" w:asciiTheme="minorEastAsia" w:hAnsiTheme="minorEastAsia" w:eastAsiaTheme="minorEastAsia"/>
          <w:color w:val="auto"/>
          <w:sz w:val="24"/>
          <w:highlight w:val="none"/>
        </w:rPr>
        <w:t>后</w:t>
      </w:r>
      <w:r>
        <w:rPr>
          <w:rFonts w:asciiTheme="minorEastAsia" w:hAnsiTheme="minorEastAsia" w:eastAsiaTheme="minorEastAsia"/>
          <w:color w:val="auto"/>
          <w:sz w:val="24"/>
          <w:highlight w:val="none"/>
        </w:rPr>
        <w:t>果和法律责任。</w:t>
      </w:r>
    </w:p>
    <w:p w14:paraId="534199DC">
      <w:pPr>
        <w:pStyle w:val="36"/>
        <w:shd w:val="clear"/>
        <w:spacing w:line="360" w:lineRule="auto"/>
        <w:ind w:firstLine="424" w:firstLineChars="177"/>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color w:val="auto"/>
          <w:sz w:val="24"/>
          <w:szCs w:val="24"/>
          <w:highlight w:val="none"/>
          <w:lang w:val="en-GB"/>
        </w:rPr>
        <w:t>本</w:t>
      </w:r>
      <w:r>
        <w:rPr>
          <w:rFonts w:hint="eastAsia" w:asciiTheme="minorEastAsia" w:hAnsiTheme="minorEastAsia" w:eastAsiaTheme="minorEastAsia"/>
          <w:color w:val="auto"/>
          <w:sz w:val="24"/>
          <w:szCs w:val="24"/>
          <w:highlight w:val="none"/>
        </w:rPr>
        <w:t>授权书</w:t>
      </w:r>
      <w:r>
        <w:rPr>
          <w:rFonts w:hint="eastAsia" w:asciiTheme="minorEastAsia" w:hAnsiTheme="minorEastAsia" w:eastAsiaTheme="minorEastAsia"/>
          <w:color w:val="auto"/>
          <w:sz w:val="24"/>
          <w:szCs w:val="24"/>
          <w:highlight w:val="none"/>
          <w:lang w:val="en-GB"/>
        </w:rPr>
        <w:t>有效期与本公司投标文件中标注的投标有效期相同，自签章之日起生效。</w:t>
      </w:r>
    </w:p>
    <w:p w14:paraId="49D2C342">
      <w:pPr>
        <w:shd w:val="clear"/>
        <w:spacing w:line="360" w:lineRule="auto"/>
        <w:rPr>
          <w:rFonts w:hint="eastAsia" w:ascii="微软雅黑" w:hAnsi="微软雅黑" w:eastAsia="微软雅黑"/>
          <w:color w:val="auto"/>
          <w:sz w:val="24"/>
          <w:highlight w:val="none"/>
        </w:rPr>
      </w:pPr>
    </w:p>
    <w:tbl>
      <w:tblPr>
        <w:tblStyle w:val="18"/>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2"/>
      </w:tblGrid>
      <w:tr w14:paraId="0E74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1" w:hRule="atLeast"/>
        </w:trPr>
        <w:tc>
          <w:tcPr>
            <w:tcW w:w="9072" w:type="dxa"/>
          </w:tcPr>
          <w:p w14:paraId="1DDFB0CF">
            <w:pPr>
              <w:widowControl w:val="0"/>
              <w:shd w:val="clear"/>
              <w:jc w:val="left"/>
              <w:rPr>
                <w:rFonts w:hint="eastAsia" w:ascii="仿宋" w:hAnsi="仿宋" w:eastAsia="仿宋" w:cs="宋体"/>
                <w:color w:val="auto"/>
                <w:szCs w:val="21"/>
                <w:highlight w:val="none"/>
              </w:rPr>
            </w:pPr>
            <w:r>
              <w:rPr>
                <w:rFonts w:hint="eastAsia" w:ascii="仿宋" w:hAnsi="仿宋" w:eastAsia="仿宋" w:cs="宋体"/>
                <w:color w:val="auto"/>
                <w:szCs w:val="21"/>
                <w:highlight w:val="none"/>
              </w:rPr>
              <w:t>（※委托代理人身份证正、反面复印件※）</w:t>
            </w:r>
          </w:p>
          <w:p w14:paraId="70F4EB9B">
            <w:pPr>
              <w:widowControl w:val="0"/>
              <w:shd w:val="clear"/>
              <w:spacing w:line="360" w:lineRule="auto"/>
              <w:jc w:val="both"/>
              <w:rPr>
                <w:rFonts w:hint="eastAsia" w:ascii="微软雅黑" w:hAnsi="微软雅黑" w:eastAsia="微软雅黑" w:cs="Times New Roman"/>
                <w:color w:val="auto"/>
                <w:sz w:val="24"/>
                <w:highlight w:val="none"/>
              </w:rPr>
            </w:pPr>
          </w:p>
        </w:tc>
      </w:tr>
    </w:tbl>
    <w:p w14:paraId="203D123D">
      <w:pPr>
        <w:shd w:val="clear"/>
        <w:spacing w:line="360" w:lineRule="auto"/>
        <w:ind w:firstLine="435"/>
        <w:rPr>
          <w:rFonts w:hint="eastAsia" w:ascii="微软雅黑" w:hAnsi="微软雅黑" w:eastAsia="微软雅黑"/>
          <w:color w:val="auto"/>
          <w:sz w:val="24"/>
          <w:highlight w:val="none"/>
        </w:rPr>
      </w:pPr>
    </w:p>
    <w:p w14:paraId="4A047ED2">
      <w:pPr>
        <w:shd w:val="clear"/>
        <w:spacing w:line="360" w:lineRule="auto"/>
        <w:ind w:firstLine="435"/>
        <w:rPr>
          <w:rFonts w:hint="eastAsia" w:ascii="微软雅黑" w:hAnsi="微软雅黑" w:eastAsia="微软雅黑"/>
          <w:color w:val="auto"/>
          <w:sz w:val="24"/>
          <w:highlight w:val="none"/>
        </w:rPr>
      </w:pPr>
    </w:p>
    <w:p w14:paraId="784B2FA6">
      <w:pPr>
        <w:shd w:val="clear"/>
        <w:spacing w:line="360" w:lineRule="auto"/>
        <w:ind w:firstLine="437"/>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法定代表人签字或盖章</w:t>
      </w:r>
      <w:r>
        <w:rPr>
          <w:rFonts w:hint="eastAsia" w:asciiTheme="minorEastAsia" w:hAnsiTheme="minorEastAsia" w:eastAsiaTheme="minorEastAsia"/>
          <w:color w:val="auto"/>
          <w:sz w:val="24"/>
          <w:highlight w:val="none"/>
          <w:u w:val="single"/>
        </w:rPr>
        <w:t xml:space="preserve">：                   </w:t>
      </w:r>
    </w:p>
    <w:p w14:paraId="3FB672BB">
      <w:pPr>
        <w:shd w:val="clear"/>
        <w:spacing w:line="360" w:lineRule="auto"/>
        <w:ind w:firstLine="437"/>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被授权人签字</w:t>
      </w:r>
      <w:r>
        <w:rPr>
          <w:rFonts w:hint="eastAsia" w:asciiTheme="minorEastAsia" w:hAnsiTheme="minorEastAsia" w:eastAsiaTheme="minorEastAsia"/>
          <w:color w:val="auto"/>
          <w:sz w:val="24"/>
          <w:highlight w:val="none"/>
          <w:u w:val="single"/>
        </w:rPr>
        <w:t xml:space="preserve">：                                </w:t>
      </w:r>
    </w:p>
    <w:p w14:paraId="2071F4A2">
      <w:pPr>
        <w:shd w:val="clear"/>
        <w:spacing w:line="360" w:lineRule="auto"/>
        <w:ind w:firstLine="437"/>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投标人公章</w:t>
      </w:r>
      <w:r>
        <w:rPr>
          <w:rFonts w:hint="eastAsia" w:asciiTheme="minorEastAsia" w:hAnsiTheme="minorEastAsia" w:eastAsiaTheme="minorEastAsia"/>
          <w:color w:val="auto"/>
          <w:sz w:val="24"/>
          <w:highlight w:val="none"/>
          <w:u w:val="single"/>
        </w:rPr>
        <w:t xml:space="preserve">：                                    </w:t>
      </w:r>
    </w:p>
    <w:p w14:paraId="75FD9AB6">
      <w:pPr>
        <w:shd w:val="clear"/>
        <w:spacing w:line="360" w:lineRule="auto"/>
        <w:ind w:firstLine="437"/>
        <w:rPr>
          <w:rFonts w:hint="eastAsia" w:asciiTheme="minorEastAsia" w:hAnsiTheme="minorEastAsia" w:eastAsiaTheme="minorEastAsia"/>
          <w:color w:val="auto"/>
          <w:sz w:val="24"/>
          <w:highlight w:val="none"/>
          <w:u w:val="single"/>
        </w:rPr>
      </w:pPr>
    </w:p>
    <w:p w14:paraId="1A16963B">
      <w:pPr>
        <w:shd w:val="clear"/>
        <w:spacing w:after="0" w:line="360" w:lineRule="auto"/>
        <w:ind w:right="-2" w:firstLine="600"/>
        <w:rPr>
          <w:rFonts w:hint="eastAsia" w:ascii="微软雅黑" w:hAnsi="微软雅黑" w:eastAsia="微软雅黑"/>
          <w:b/>
          <w:color w:val="auto"/>
          <w:sz w:val="24"/>
          <w:highlight w:val="none"/>
        </w:rPr>
      </w:pPr>
      <w:r>
        <w:rPr>
          <w:rFonts w:hint="eastAsia" w:asciiTheme="minorEastAsia" w:hAnsiTheme="minorEastAsia" w:eastAsiaTheme="minorEastAsia"/>
          <w:b/>
          <w:color w:val="auto"/>
          <w:sz w:val="24"/>
          <w:highlight w:val="none"/>
        </w:rPr>
        <w:t>注</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本文件应按规定签署，否则视为该文件无效。</w:t>
      </w:r>
      <w:r>
        <w:rPr>
          <w:rFonts w:hint="eastAsia" w:ascii="仿宋_GB2312" w:hAnsi="仿宋_GB2312" w:eastAsia="仿宋_GB2312" w:cs="仿宋_GB2312"/>
          <w:color w:val="auto"/>
          <w:szCs w:val="21"/>
          <w:highlight w:val="none"/>
        </w:rPr>
        <w:t>（授权委托人参加投标的须提供）</w:t>
      </w:r>
    </w:p>
    <w:p w14:paraId="37611FFE">
      <w:pPr>
        <w:shd w:val="clear"/>
        <w:spacing w:after="0" w:line="360" w:lineRule="auto"/>
        <w:ind w:right="-2" w:firstLine="1080" w:firstLineChars="450"/>
        <w:rPr>
          <w:rFonts w:hint="eastAsia" w:ascii="宋体" w:hAnsi="宋体"/>
          <w:color w:val="auto"/>
          <w:sz w:val="24"/>
          <w:highlight w:val="none"/>
        </w:rPr>
      </w:pPr>
      <w:r>
        <w:rPr>
          <w:rFonts w:ascii="宋体" w:hAnsi="宋体"/>
          <w:color w:val="auto"/>
          <w:sz w:val="24"/>
          <w:highlight w:val="none"/>
        </w:rPr>
        <w:br w:type="page"/>
      </w:r>
    </w:p>
    <w:p w14:paraId="6DBFD176">
      <w:pPr>
        <w:shd w:val="clear"/>
        <w:spacing w:before="240" w:beforeLines="100" w:after="240" w:afterLines="100" w:line="480" w:lineRule="auto"/>
        <w:ind w:right="660" w:rightChars="300"/>
        <w:jc w:val="center"/>
        <w:rPr>
          <w:rFonts w:hint="eastAsia" w:asciiTheme="minorEastAsia" w:hAnsiTheme="minorEastAsia" w:eastAsiaTheme="minorEastAsia"/>
          <w:b/>
          <w:bCs/>
          <w:color w:val="auto"/>
          <w:sz w:val="32"/>
          <w:szCs w:val="32"/>
          <w:highlight w:val="none"/>
        </w:rPr>
      </w:pPr>
      <w:r>
        <w:rPr>
          <w:rFonts w:hint="eastAsia" w:asciiTheme="minorEastAsia" w:hAnsiTheme="minorEastAsia" w:eastAsiaTheme="minorEastAsia"/>
          <w:b/>
          <w:bCs/>
          <w:color w:val="auto"/>
          <w:sz w:val="32"/>
          <w:szCs w:val="32"/>
          <w:highlight w:val="none"/>
        </w:rPr>
        <w:t xml:space="preserve">    （四）信用承诺书</w:t>
      </w:r>
    </w:p>
    <w:p w14:paraId="4E8B35D7">
      <w:pPr>
        <w:pStyle w:val="2"/>
        <w:shd w:val="clear"/>
        <w:spacing w:line="360" w:lineRule="auto"/>
        <w:rPr>
          <w:rFonts w:hint="eastAsia" w:asciiTheme="minorEastAsia" w:hAnsiTheme="minorEastAsia" w:eastAsiaTheme="minorEastAsia"/>
          <w:color w:val="auto"/>
          <w:w w:val="105"/>
          <w:sz w:val="24"/>
          <w:szCs w:val="22"/>
          <w:highlight w:val="none"/>
          <w:lang w:eastAsia="zh-CN"/>
        </w:rPr>
      </w:pPr>
      <w:r>
        <w:rPr>
          <w:rFonts w:asciiTheme="minorEastAsia" w:hAnsiTheme="minorEastAsia" w:eastAsiaTheme="minorEastAsia"/>
          <w:color w:val="auto"/>
          <w:w w:val="105"/>
          <w:sz w:val="24"/>
          <w:szCs w:val="22"/>
          <w:highlight w:val="none"/>
          <w:lang w:eastAsia="zh-CN"/>
        </w:rPr>
        <w:t>致：</w:t>
      </w:r>
      <w:r>
        <w:rPr>
          <w:rFonts w:asciiTheme="minorEastAsia" w:hAnsiTheme="minorEastAsia" w:eastAsiaTheme="minorEastAsia"/>
          <w:color w:val="auto"/>
          <w:w w:val="105"/>
          <w:sz w:val="24"/>
          <w:szCs w:val="22"/>
          <w:highlight w:val="none"/>
          <w:u w:val="single"/>
          <w:lang w:eastAsia="zh-CN"/>
        </w:rPr>
        <w:t>（采购单位、采购代理机构）</w:t>
      </w:r>
    </w:p>
    <w:p w14:paraId="111E35D8">
      <w:pPr>
        <w:pStyle w:val="2"/>
        <w:shd w:val="clear"/>
        <w:spacing w:line="360" w:lineRule="auto"/>
        <w:ind w:right="264" w:firstLine="504" w:firstLineChars="200"/>
        <w:jc w:val="both"/>
        <w:rPr>
          <w:rFonts w:hint="eastAsia" w:asciiTheme="minorEastAsia" w:hAnsiTheme="minorEastAsia" w:eastAsiaTheme="minorEastAsia"/>
          <w:color w:val="auto"/>
          <w:sz w:val="24"/>
          <w:szCs w:val="22"/>
          <w:highlight w:val="none"/>
          <w:lang w:eastAsia="zh-CN"/>
        </w:rPr>
      </w:pPr>
      <w:r>
        <w:rPr>
          <w:rFonts w:asciiTheme="minorEastAsia" w:hAnsiTheme="minorEastAsia" w:eastAsiaTheme="minorEastAsia"/>
          <w:color w:val="auto"/>
          <w:w w:val="105"/>
          <w:sz w:val="24"/>
          <w:szCs w:val="22"/>
          <w:highlight w:val="none"/>
          <w:lang w:eastAsia="zh-CN"/>
        </w:rPr>
        <w:t>我单位在参与</w:t>
      </w:r>
      <w:r>
        <w:rPr>
          <w:rFonts w:asciiTheme="minorEastAsia" w:hAnsiTheme="minorEastAsia" w:eastAsiaTheme="minorEastAsia"/>
          <w:color w:val="auto"/>
          <w:w w:val="105"/>
          <w:sz w:val="24"/>
          <w:szCs w:val="22"/>
          <w:highlight w:val="none"/>
          <w:u w:val="single"/>
          <w:lang w:eastAsia="zh-CN"/>
        </w:rPr>
        <w:t>（项目名称：</w:t>
      </w:r>
      <w:r>
        <w:rPr>
          <w:rFonts w:hint="eastAsia" w:asciiTheme="minorEastAsia" w:hAnsiTheme="minorEastAsia" w:eastAsiaTheme="minorEastAsia"/>
          <w:color w:val="auto"/>
          <w:w w:val="105"/>
          <w:sz w:val="24"/>
          <w:szCs w:val="22"/>
          <w:highlight w:val="none"/>
          <w:u w:val="single"/>
          <w:lang w:eastAsia="zh-CN"/>
        </w:rPr>
        <w:t xml:space="preserve">             </w:t>
      </w:r>
      <w:r>
        <w:rPr>
          <w:rFonts w:asciiTheme="minorEastAsia" w:hAnsiTheme="minorEastAsia" w:eastAsiaTheme="minorEastAsia"/>
          <w:color w:val="auto"/>
          <w:w w:val="105"/>
          <w:sz w:val="24"/>
          <w:szCs w:val="22"/>
          <w:highlight w:val="none"/>
          <w:u w:val="single"/>
          <w:lang w:eastAsia="zh-CN"/>
        </w:rPr>
        <w:t>，项目编号：</w:t>
      </w:r>
      <w:r>
        <w:rPr>
          <w:rFonts w:hint="eastAsia" w:asciiTheme="minorEastAsia" w:hAnsiTheme="minorEastAsia" w:eastAsiaTheme="minorEastAsia"/>
          <w:color w:val="auto"/>
          <w:w w:val="105"/>
          <w:sz w:val="24"/>
          <w:szCs w:val="22"/>
          <w:highlight w:val="none"/>
          <w:u w:val="single"/>
          <w:lang w:eastAsia="zh-CN"/>
        </w:rPr>
        <w:t xml:space="preserve">        </w:t>
      </w:r>
      <w:r>
        <w:rPr>
          <w:rFonts w:asciiTheme="minorEastAsia" w:hAnsiTheme="minorEastAsia" w:eastAsiaTheme="minorEastAsia"/>
          <w:color w:val="auto"/>
          <w:w w:val="105"/>
          <w:sz w:val="24"/>
          <w:szCs w:val="22"/>
          <w:highlight w:val="none"/>
          <w:u w:val="single"/>
          <w:lang w:eastAsia="zh-CN"/>
        </w:rPr>
        <w:t>）</w:t>
      </w:r>
      <w:r>
        <w:rPr>
          <w:rFonts w:asciiTheme="minorEastAsia" w:hAnsiTheme="minorEastAsia" w:eastAsiaTheme="minorEastAsia"/>
          <w:color w:val="auto"/>
          <w:w w:val="105"/>
          <w:sz w:val="24"/>
          <w:szCs w:val="22"/>
          <w:highlight w:val="none"/>
          <w:lang w:eastAsia="zh-CN"/>
        </w:rPr>
        <w:t>的采购活动中，自愿做出承诺：根据《中华人民共和国政府采购法》《中华人民共和国政府采购法实施条例》等规定及采购文件资格要求，我单位符合以下条件：</w:t>
      </w:r>
    </w:p>
    <w:p w14:paraId="486BBF54">
      <w:pPr>
        <w:shd w:val="clear"/>
        <w:tabs>
          <w:tab w:val="left" w:pos="2643"/>
        </w:tabs>
        <w:autoSpaceDE w:val="0"/>
        <w:autoSpaceDN w:val="0"/>
        <w:spacing w:after="0" w:line="360" w:lineRule="auto"/>
        <w:ind w:firstLine="504" w:firstLineChars="200"/>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w w:val="105"/>
          <w:sz w:val="24"/>
          <w:szCs w:val="21"/>
          <w:highlight w:val="none"/>
        </w:rPr>
        <w:t>1.</w:t>
      </w:r>
      <w:r>
        <w:rPr>
          <w:rFonts w:asciiTheme="minorEastAsia" w:hAnsiTheme="minorEastAsia" w:eastAsiaTheme="minorEastAsia"/>
          <w:color w:val="auto"/>
          <w:w w:val="105"/>
          <w:sz w:val="24"/>
          <w:szCs w:val="21"/>
          <w:highlight w:val="none"/>
        </w:rPr>
        <w:t>具有良好的商业信誉和健全的财务会计制度；</w:t>
      </w:r>
    </w:p>
    <w:p w14:paraId="3B96A7B1">
      <w:pPr>
        <w:shd w:val="clear"/>
        <w:tabs>
          <w:tab w:val="left" w:pos="2643"/>
        </w:tabs>
        <w:autoSpaceDE w:val="0"/>
        <w:autoSpaceDN w:val="0"/>
        <w:spacing w:after="0" w:line="360" w:lineRule="auto"/>
        <w:ind w:firstLine="504" w:firstLineChars="200"/>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w w:val="105"/>
          <w:sz w:val="24"/>
          <w:szCs w:val="21"/>
          <w:highlight w:val="none"/>
        </w:rPr>
        <w:t>2.</w:t>
      </w:r>
      <w:r>
        <w:rPr>
          <w:rFonts w:asciiTheme="minorEastAsia" w:hAnsiTheme="minorEastAsia" w:eastAsiaTheme="minorEastAsia"/>
          <w:color w:val="auto"/>
          <w:w w:val="105"/>
          <w:sz w:val="24"/>
          <w:szCs w:val="21"/>
          <w:highlight w:val="none"/>
        </w:rPr>
        <w:t>依法缴纳税收和社会保障资金的良好记录；</w:t>
      </w:r>
    </w:p>
    <w:p w14:paraId="0AEED62D">
      <w:pPr>
        <w:shd w:val="clear"/>
        <w:tabs>
          <w:tab w:val="left" w:pos="2643"/>
        </w:tabs>
        <w:autoSpaceDE w:val="0"/>
        <w:autoSpaceDN w:val="0"/>
        <w:spacing w:after="0" w:line="360" w:lineRule="auto"/>
        <w:ind w:firstLine="504" w:firstLineChars="200"/>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w w:val="105"/>
          <w:sz w:val="24"/>
          <w:szCs w:val="21"/>
          <w:highlight w:val="none"/>
        </w:rPr>
        <w:t>3.</w:t>
      </w:r>
      <w:r>
        <w:rPr>
          <w:rFonts w:asciiTheme="minorEastAsia" w:hAnsiTheme="minorEastAsia" w:eastAsiaTheme="minorEastAsia"/>
          <w:color w:val="auto"/>
          <w:w w:val="105"/>
          <w:sz w:val="24"/>
          <w:szCs w:val="21"/>
          <w:highlight w:val="none"/>
        </w:rPr>
        <w:t>参加政府采购活动前三年内，在经营活动中无重大违法</w:t>
      </w:r>
      <w:r>
        <w:rPr>
          <w:rFonts w:asciiTheme="minorEastAsia" w:hAnsiTheme="minorEastAsia" w:eastAsiaTheme="minorEastAsia"/>
          <w:color w:val="auto"/>
          <w:w w:val="105"/>
          <w:sz w:val="24"/>
          <w:szCs w:val="22"/>
          <w:highlight w:val="none"/>
        </w:rPr>
        <w:t>记录。</w:t>
      </w:r>
    </w:p>
    <w:p w14:paraId="66AF701D">
      <w:pPr>
        <w:shd w:val="clear"/>
        <w:tabs>
          <w:tab w:val="left" w:pos="2643"/>
        </w:tabs>
        <w:spacing w:after="0" w:line="360" w:lineRule="auto"/>
        <w:rPr>
          <w:rFonts w:hint="eastAsia" w:asciiTheme="minorEastAsia" w:hAnsiTheme="minorEastAsia" w:eastAsiaTheme="minorEastAsia"/>
          <w:color w:val="auto"/>
          <w:sz w:val="24"/>
          <w:szCs w:val="22"/>
          <w:highlight w:val="none"/>
        </w:rPr>
      </w:pPr>
    </w:p>
    <w:p w14:paraId="70CBD0D6">
      <w:pPr>
        <w:pStyle w:val="2"/>
        <w:shd w:val="clear"/>
        <w:spacing w:line="360" w:lineRule="auto"/>
        <w:ind w:firstLine="504" w:firstLineChars="200"/>
        <w:rPr>
          <w:rFonts w:hint="eastAsia" w:asciiTheme="minorEastAsia" w:hAnsiTheme="minorEastAsia" w:eastAsiaTheme="minorEastAsia" w:cstheme="minorBidi"/>
          <w:color w:val="auto"/>
          <w:w w:val="105"/>
          <w:sz w:val="24"/>
          <w:szCs w:val="21"/>
          <w:highlight w:val="none"/>
          <w:lang w:eastAsia="zh-CN"/>
        </w:rPr>
      </w:pPr>
      <w:r>
        <w:rPr>
          <w:rFonts w:asciiTheme="minorEastAsia" w:hAnsiTheme="minorEastAsia" w:eastAsiaTheme="minorEastAsia" w:cstheme="minorBidi"/>
          <w:color w:val="auto"/>
          <w:w w:val="105"/>
          <w:sz w:val="24"/>
          <w:szCs w:val="21"/>
          <w:highlight w:val="none"/>
          <w:lang w:eastAsia="zh-CN"/>
        </w:rPr>
        <w:t>若我单位以上承诺不实，自愿承担提供虚假材料的法律责任。</w:t>
      </w:r>
    </w:p>
    <w:p w14:paraId="45E1568F">
      <w:pPr>
        <w:pStyle w:val="2"/>
        <w:shd w:val="clear"/>
        <w:spacing w:line="360" w:lineRule="auto"/>
        <w:rPr>
          <w:rFonts w:hint="eastAsia" w:asciiTheme="minorEastAsia" w:hAnsiTheme="minorEastAsia" w:eastAsiaTheme="minorEastAsia" w:cstheme="minorBidi"/>
          <w:color w:val="auto"/>
          <w:w w:val="105"/>
          <w:sz w:val="24"/>
          <w:szCs w:val="21"/>
          <w:highlight w:val="none"/>
          <w:lang w:eastAsia="zh-CN"/>
        </w:rPr>
      </w:pPr>
    </w:p>
    <w:p w14:paraId="05ED7FB5">
      <w:pPr>
        <w:pStyle w:val="2"/>
        <w:shd w:val="clear"/>
        <w:spacing w:line="360" w:lineRule="auto"/>
        <w:rPr>
          <w:rFonts w:hint="eastAsia" w:asciiTheme="minorEastAsia" w:hAnsiTheme="minorEastAsia" w:eastAsiaTheme="minorEastAsia" w:cstheme="minorBidi"/>
          <w:color w:val="auto"/>
          <w:w w:val="105"/>
          <w:sz w:val="24"/>
          <w:szCs w:val="21"/>
          <w:highlight w:val="none"/>
          <w:lang w:eastAsia="zh-CN"/>
        </w:rPr>
      </w:pPr>
    </w:p>
    <w:p w14:paraId="3E0E9A98">
      <w:pPr>
        <w:pStyle w:val="2"/>
        <w:shd w:val="clear"/>
        <w:spacing w:line="360" w:lineRule="auto"/>
        <w:rPr>
          <w:rFonts w:hint="eastAsia" w:asciiTheme="minorEastAsia" w:hAnsiTheme="minorEastAsia" w:eastAsiaTheme="minorEastAsia" w:cstheme="minorBidi"/>
          <w:color w:val="auto"/>
          <w:w w:val="105"/>
          <w:sz w:val="24"/>
          <w:szCs w:val="21"/>
          <w:highlight w:val="none"/>
          <w:lang w:eastAsia="zh-CN"/>
        </w:rPr>
      </w:pPr>
    </w:p>
    <w:p w14:paraId="6A794182">
      <w:pPr>
        <w:pStyle w:val="2"/>
        <w:shd w:val="clear"/>
        <w:spacing w:line="360" w:lineRule="auto"/>
        <w:rPr>
          <w:rFonts w:hint="eastAsia" w:asciiTheme="minorEastAsia" w:hAnsiTheme="minorEastAsia" w:eastAsiaTheme="minorEastAsia" w:cstheme="minorBidi"/>
          <w:color w:val="auto"/>
          <w:w w:val="105"/>
          <w:sz w:val="24"/>
          <w:szCs w:val="21"/>
          <w:highlight w:val="none"/>
          <w:lang w:eastAsia="zh-CN"/>
        </w:rPr>
      </w:pPr>
      <w:r>
        <w:rPr>
          <w:rFonts w:asciiTheme="minorEastAsia" w:hAnsiTheme="minorEastAsia" w:eastAsiaTheme="minorEastAsia" w:cstheme="minorBidi"/>
          <w:color w:val="auto"/>
          <w:w w:val="105"/>
          <w:sz w:val="24"/>
          <w:szCs w:val="21"/>
          <w:highlight w:val="none"/>
          <w:lang w:eastAsia="zh-CN"/>
        </w:rPr>
        <w:t>承诺供应商</w:t>
      </w:r>
      <w:r>
        <w:rPr>
          <w:rFonts w:hint="eastAsia" w:asciiTheme="minorEastAsia" w:hAnsiTheme="minorEastAsia" w:eastAsiaTheme="minorEastAsia" w:cstheme="minorBidi"/>
          <w:color w:val="auto"/>
          <w:w w:val="105"/>
          <w:sz w:val="24"/>
          <w:szCs w:val="21"/>
          <w:highlight w:val="none"/>
          <w:lang w:eastAsia="zh-CN"/>
        </w:rPr>
        <w:t>（</w:t>
      </w:r>
      <w:r>
        <w:rPr>
          <w:rFonts w:asciiTheme="minorEastAsia" w:hAnsiTheme="minorEastAsia" w:eastAsiaTheme="minorEastAsia" w:cstheme="minorBidi"/>
          <w:color w:val="auto"/>
          <w:w w:val="105"/>
          <w:sz w:val="24"/>
          <w:szCs w:val="21"/>
          <w:highlight w:val="none"/>
          <w:lang w:eastAsia="zh-CN"/>
        </w:rPr>
        <w:t>公章）：</w:t>
      </w:r>
    </w:p>
    <w:p w14:paraId="478B6EA6">
      <w:pPr>
        <w:pStyle w:val="2"/>
        <w:shd w:val="clear"/>
        <w:spacing w:line="360" w:lineRule="auto"/>
        <w:rPr>
          <w:rFonts w:hint="eastAsia" w:asciiTheme="minorEastAsia" w:hAnsiTheme="minorEastAsia" w:eastAsiaTheme="minorEastAsia" w:cstheme="minorBidi"/>
          <w:color w:val="auto"/>
          <w:w w:val="105"/>
          <w:sz w:val="24"/>
          <w:szCs w:val="21"/>
          <w:highlight w:val="none"/>
          <w:lang w:eastAsia="zh-CN"/>
        </w:rPr>
      </w:pPr>
      <w:r>
        <w:rPr>
          <w:rFonts w:hint="eastAsia" w:asciiTheme="minorEastAsia" w:hAnsiTheme="minorEastAsia" w:eastAsiaTheme="minorEastAsia" w:cstheme="minorBidi"/>
          <w:color w:val="auto"/>
          <w:w w:val="105"/>
          <w:sz w:val="24"/>
          <w:szCs w:val="21"/>
          <w:highlight w:val="none"/>
          <w:lang w:eastAsia="zh-CN"/>
        </w:rPr>
        <w:t>法定代表人(签字或盖章)或被授权人（签字）</w:t>
      </w:r>
      <w:r>
        <w:rPr>
          <w:rFonts w:asciiTheme="minorEastAsia" w:hAnsiTheme="minorEastAsia" w:eastAsiaTheme="minorEastAsia" w:cstheme="minorBidi"/>
          <w:color w:val="auto"/>
          <w:w w:val="105"/>
          <w:sz w:val="24"/>
          <w:szCs w:val="21"/>
          <w:highlight w:val="none"/>
          <w:lang w:eastAsia="zh-CN"/>
        </w:rPr>
        <w:t>：</w:t>
      </w:r>
    </w:p>
    <w:p w14:paraId="227151C5">
      <w:pPr>
        <w:pStyle w:val="40"/>
        <w:shd w:val="clear"/>
        <w:spacing w:line="360" w:lineRule="auto"/>
        <w:ind w:right="4602"/>
        <w:rPr>
          <w:rFonts w:hint="eastAsia" w:asciiTheme="minorEastAsia" w:hAnsiTheme="minorEastAsia" w:eastAsiaTheme="minorEastAsia" w:cstheme="minorBidi"/>
          <w:color w:val="auto"/>
          <w:w w:val="105"/>
          <w:sz w:val="24"/>
          <w:szCs w:val="21"/>
          <w:highlight w:val="none"/>
          <w:lang w:eastAsia="zh-CN"/>
        </w:rPr>
      </w:pPr>
      <w:r>
        <w:rPr>
          <w:rFonts w:asciiTheme="minorEastAsia" w:hAnsiTheme="minorEastAsia" w:eastAsiaTheme="minorEastAsia" w:cstheme="minorBidi"/>
          <w:color w:val="auto"/>
          <w:w w:val="105"/>
          <w:sz w:val="24"/>
          <w:szCs w:val="21"/>
          <w:highlight w:val="none"/>
          <w:lang w:eastAsia="zh-CN"/>
        </w:rPr>
        <w:t>日期：</w:t>
      </w:r>
    </w:p>
    <w:p w14:paraId="1012B627">
      <w:pPr>
        <w:pStyle w:val="2"/>
        <w:shd w:val="clear"/>
        <w:spacing w:line="360" w:lineRule="auto"/>
        <w:rPr>
          <w:rFonts w:hint="eastAsia" w:asciiTheme="minorEastAsia" w:hAnsiTheme="minorEastAsia" w:eastAsiaTheme="minorEastAsia"/>
          <w:color w:val="auto"/>
          <w:sz w:val="24"/>
          <w:szCs w:val="22"/>
          <w:highlight w:val="none"/>
          <w:lang w:eastAsia="zh-CN"/>
        </w:rPr>
      </w:pPr>
    </w:p>
    <w:p w14:paraId="3F58E11A">
      <w:pPr>
        <w:pStyle w:val="2"/>
        <w:shd w:val="clear"/>
        <w:spacing w:line="360" w:lineRule="auto"/>
        <w:rPr>
          <w:rFonts w:hint="eastAsia" w:asciiTheme="minorEastAsia" w:hAnsiTheme="minorEastAsia" w:eastAsiaTheme="minorEastAsia"/>
          <w:color w:val="auto"/>
          <w:sz w:val="28"/>
          <w:szCs w:val="24"/>
          <w:highlight w:val="none"/>
          <w:lang w:eastAsia="zh-CN"/>
        </w:rPr>
      </w:pPr>
    </w:p>
    <w:p w14:paraId="6E368B4C">
      <w:pPr>
        <w:shd w:val="clear"/>
        <w:spacing w:after="0" w:line="360" w:lineRule="auto"/>
        <w:ind w:right="282" w:rightChars="128"/>
        <w:rPr>
          <w:rFonts w:hint="eastAsia" w:cs="宋体" w:asciiTheme="minorEastAsia" w:hAnsiTheme="minorEastAsia" w:eastAsiaTheme="minorEastAsia"/>
          <w:color w:val="auto"/>
          <w:sz w:val="28"/>
          <w:szCs w:val="28"/>
          <w:highlight w:val="none"/>
        </w:rPr>
      </w:pPr>
      <w:r>
        <w:rPr>
          <w:rFonts w:asciiTheme="minorEastAsia" w:hAnsiTheme="minorEastAsia" w:eastAsiaTheme="minorEastAsia"/>
          <w:color w:val="auto"/>
          <w:w w:val="105"/>
          <w:sz w:val="24"/>
          <w:szCs w:val="24"/>
          <w:highlight w:val="none"/>
        </w:rPr>
        <w:t>说明：供应商可自行选择是否提供本承诺书，若不提供，应桉《中华人民共和国政府采购法》《中华人民共和国政府采购法实施条例》等规定及采购文件资格要求提供相应的证明材料。</w:t>
      </w:r>
    </w:p>
    <w:p w14:paraId="7EDCBADC">
      <w:pPr>
        <w:shd w:val="clear"/>
        <w:spacing w:after="0" w:line="360" w:lineRule="auto"/>
        <w:ind w:right="-2" w:firstLine="602" w:firstLineChars="250"/>
        <w:rPr>
          <w:rFonts w:hint="eastAsia" w:ascii="宋体" w:hAnsi="宋体"/>
          <w:color w:val="auto"/>
          <w:sz w:val="24"/>
          <w:highlight w:val="none"/>
        </w:rPr>
      </w:pPr>
      <w:r>
        <w:rPr>
          <w:rFonts w:hint="eastAsia" w:asciiTheme="minorEastAsia" w:hAnsiTheme="minorEastAsia" w:eastAsiaTheme="minorEastAsia"/>
          <w:b/>
          <w:color w:val="auto"/>
          <w:sz w:val="24"/>
          <w:highlight w:val="none"/>
        </w:rPr>
        <w:t>本文件应按规定签署，否则视为该文件无效。</w:t>
      </w:r>
    </w:p>
    <w:p w14:paraId="54734F0C">
      <w:pPr>
        <w:shd w:val="clear"/>
        <w:adjustRightInd/>
        <w:snapToGrid/>
        <w:spacing w:line="220" w:lineRule="atLeast"/>
        <w:rPr>
          <w:rFonts w:hint="eastAsia" w:ascii="宋体" w:hAnsi="宋体"/>
          <w:color w:val="auto"/>
          <w:sz w:val="24"/>
          <w:highlight w:val="none"/>
        </w:rPr>
      </w:pPr>
      <w:r>
        <w:rPr>
          <w:rFonts w:ascii="宋体" w:hAnsi="宋体"/>
          <w:color w:val="auto"/>
          <w:sz w:val="24"/>
          <w:highlight w:val="none"/>
        </w:rPr>
        <w:br w:type="page"/>
      </w:r>
    </w:p>
    <w:p w14:paraId="176AC982">
      <w:pPr>
        <w:shd w:val="clear"/>
        <w:spacing w:before="240" w:beforeLines="100" w:after="240" w:afterLines="100" w:line="480" w:lineRule="auto"/>
        <w:ind w:right="660" w:rightChars="300"/>
        <w:jc w:val="center"/>
        <w:rPr>
          <w:rFonts w:hint="eastAsia" w:asciiTheme="minorEastAsia" w:hAnsiTheme="minorEastAsia" w:eastAsiaTheme="minorEastAsia"/>
          <w:b/>
          <w:bCs/>
          <w:color w:val="auto"/>
          <w:sz w:val="32"/>
          <w:szCs w:val="32"/>
          <w:highlight w:val="none"/>
        </w:rPr>
      </w:pPr>
      <w:r>
        <w:rPr>
          <w:rFonts w:hint="eastAsia" w:asciiTheme="minorEastAsia" w:hAnsiTheme="minorEastAsia" w:eastAsiaTheme="minorEastAsia"/>
          <w:b/>
          <w:bCs/>
          <w:color w:val="auto"/>
          <w:sz w:val="32"/>
          <w:szCs w:val="32"/>
          <w:highlight w:val="none"/>
        </w:rPr>
        <w:t>（五）其他资格证明文件：</w:t>
      </w:r>
    </w:p>
    <w:p w14:paraId="6ECBF798">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w:t>
      </w:r>
      <w:r>
        <w:rPr>
          <w:rFonts w:hint="eastAsia" w:ascii="宋体" w:hAnsi="宋体" w:cs="宋体"/>
          <w:bCs/>
          <w:color w:val="auto"/>
          <w:sz w:val="24"/>
          <w:szCs w:val="24"/>
          <w:highlight w:val="none"/>
          <w:lang w:val="en-US" w:eastAsia="zh-CN"/>
        </w:rPr>
        <w:t>投标人须具有建设主管部门颁发的机电工程施工总承包三级及以上资质或建筑机电安装工程专业承包三级及以上资质，具有有效的安全生产许可证，无在处罚期内的不良记录</w:t>
      </w:r>
      <w:r>
        <w:rPr>
          <w:rFonts w:hint="eastAsia" w:ascii="宋体" w:hAnsi="宋体" w:eastAsia="宋体" w:cs="宋体"/>
          <w:bCs/>
          <w:color w:val="auto"/>
          <w:sz w:val="24"/>
          <w:szCs w:val="24"/>
          <w:highlight w:val="none"/>
        </w:rPr>
        <w:t>。</w:t>
      </w:r>
    </w:p>
    <w:p w14:paraId="3F8C7180">
      <w:pPr>
        <w:shd w:val="clear"/>
        <w:spacing w:after="0" w:line="360" w:lineRule="auto"/>
        <w:ind w:right="-2" w:firstLine="426"/>
        <w:rPr>
          <w:rFonts w:hint="eastAsia" w:ascii="宋体" w:hAnsi="宋体"/>
          <w:bCs/>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项目经理须具有机电工程专业注册建造师二级及以上资格，</w:t>
      </w:r>
      <w:r>
        <w:rPr>
          <w:rFonts w:hint="eastAsia" w:ascii="宋体" w:hAnsi="宋体" w:eastAsia="宋体" w:cs="宋体"/>
          <w:color w:val="auto"/>
          <w:sz w:val="24"/>
          <w:szCs w:val="24"/>
          <w:highlight w:val="none"/>
        </w:rPr>
        <w:t>具有有效的安全生产考核合格证书</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无在处罚期内的不良记录。</w:t>
      </w:r>
    </w:p>
    <w:p w14:paraId="5852F993">
      <w:pPr>
        <w:shd w:val="clear"/>
        <w:spacing w:after="0" w:line="360" w:lineRule="auto"/>
        <w:ind w:right="-2"/>
        <w:jc w:val="center"/>
        <w:rPr>
          <w:rFonts w:hint="eastAsia" w:ascii="宋体" w:hAnsi="宋体"/>
          <w:color w:val="auto"/>
          <w:sz w:val="24"/>
          <w:highlight w:val="none"/>
        </w:rPr>
      </w:pPr>
    </w:p>
    <w:p w14:paraId="7EF20725">
      <w:pPr>
        <w:shd w:val="clear"/>
        <w:adjustRightInd/>
        <w:snapToGrid/>
        <w:spacing w:line="220" w:lineRule="atLeast"/>
        <w:rPr>
          <w:rFonts w:hint="eastAsia" w:ascii="宋体" w:hAnsi="宋体"/>
          <w:color w:val="auto"/>
          <w:sz w:val="24"/>
          <w:highlight w:val="none"/>
        </w:rPr>
      </w:pPr>
      <w:r>
        <w:rPr>
          <w:rFonts w:ascii="宋体" w:hAnsi="宋体"/>
          <w:color w:val="auto"/>
          <w:sz w:val="24"/>
          <w:highlight w:val="none"/>
        </w:rPr>
        <w:br w:type="page"/>
      </w:r>
    </w:p>
    <w:p w14:paraId="11AD89A1">
      <w:pPr>
        <w:shd w:val="clear"/>
        <w:spacing w:after="0"/>
        <w:ind w:right="-2"/>
        <w:jc w:val="center"/>
        <w:rPr>
          <w:rFonts w:hint="eastAsia" w:ascii="宋体" w:hAnsi="宋体"/>
          <w:b/>
          <w:color w:val="auto"/>
          <w:sz w:val="36"/>
          <w:szCs w:val="36"/>
          <w:highlight w:val="none"/>
        </w:rPr>
      </w:pPr>
      <w:r>
        <w:rPr>
          <w:rFonts w:hint="eastAsia" w:ascii="宋体" w:hAnsi="宋体"/>
          <w:b/>
          <w:color w:val="auto"/>
          <w:sz w:val="36"/>
          <w:szCs w:val="36"/>
          <w:highlight w:val="none"/>
        </w:rPr>
        <w:t>六、其 他</w:t>
      </w:r>
    </w:p>
    <w:p w14:paraId="1E4E9F8F">
      <w:pPr>
        <w:shd w:val="clear"/>
        <w:spacing w:after="0" w:line="340" w:lineRule="exact"/>
        <w:ind w:right="-2"/>
        <w:jc w:val="center"/>
        <w:rPr>
          <w:rFonts w:hint="eastAsia" w:ascii="宋体" w:hAnsi="宋体"/>
          <w:color w:val="auto"/>
          <w:sz w:val="32"/>
          <w:szCs w:val="32"/>
          <w:highlight w:val="none"/>
        </w:rPr>
      </w:pPr>
    </w:p>
    <w:p w14:paraId="19735ACF">
      <w:pPr>
        <w:shd w:val="clear"/>
        <w:spacing w:after="0" w:line="360" w:lineRule="auto"/>
        <w:ind w:right="-2"/>
        <w:jc w:val="center"/>
        <w:rPr>
          <w:rFonts w:hint="eastAsia" w:ascii="宋体" w:hAnsi="宋体"/>
          <w:b/>
          <w:color w:val="auto"/>
          <w:sz w:val="24"/>
          <w:highlight w:val="none"/>
        </w:rPr>
      </w:pPr>
      <w:r>
        <w:rPr>
          <w:rFonts w:hint="eastAsia" w:ascii="宋体" w:hAnsi="宋体"/>
          <w:b/>
          <w:color w:val="auto"/>
          <w:sz w:val="24"/>
          <w:highlight w:val="none"/>
        </w:rPr>
        <w:t>（一） 投标人基本情况表</w:t>
      </w:r>
    </w:p>
    <w:p w14:paraId="48850205">
      <w:pPr>
        <w:shd w:val="clear"/>
        <w:spacing w:after="0" w:line="360" w:lineRule="auto"/>
        <w:ind w:right="-2" w:firstLine="240"/>
        <w:rPr>
          <w:rFonts w:hint="eastAsia" w:ascii="宋体" w:hAnsi="宋体"/>
          <w:b/>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1</w:t>
      </w:r>
      <w:r>
        <w:rPr>
          <w:rFonts w:hint="eastAsia" w:ascii="宋体" w:hAnsi="宋体" w:cs="Arial"/>
          <w:color w:val="auto"/>
          <w:sz w:val="24"/>
          <w:highlight w:val="none"/>
        </w:rPr>
        <w:t>）</w:t>
      </w:r>
      <w:r>
        <w:rPr>
          <w:rFonts w:ascii="宋体" w:hAnsi="宋体" w:cs="Arial"/>
          <w:color w:val="auto"/>
          <w:sz w:val="24"/>
          <w:highlight w:val="none"/>
        </w:rPr>
        <w:t>公司名称：</w:t>
      </w:r>
      <w:r>
        <w:rPr>
          <w:rFonts w:ascii="宋体" w:hAnsi="宋体" w:cs="Arial"/>
          <w:color w:val="auto"/>
          <w:sz w:val="24"/>
          <w:highlight w:val="none"/>
          <w:u w:val="single"/>
        </w:rPr>
        <w:t xml:space="preserve">                </w:t>
      </w:r>
      <w:r>
        <w:rPr>
          <w:rFonts w:ascii="宋体" w:hAnsi="宋体" w:cs="Arial"/>
          <w:color w:val="auto"/>
          <w:sz w:val="24"/>
          <w:highlight w:val="none"/>
        </w:rPr>
        <w:t xml:space="preserve">  电话号码：</w:t>
      </w:r>
      <w:r>
        <w:rPr>
          <w:rFonts w:ascii="宋体" w:hAnsi="宋体" w:cs="Arial"/>
          <w:color w:val="auto"/>
          <w:sz w:val="24"/>
          <w:highlight w:val="none"/>
          <w:u w:val="single"/>
        </w:rPr>
        <w:t xml:space="preserve">         </w:t>
      </w:r>
      <w:r>
        <w:rPr>
          <w:rFonts w:ascii="宋体" w:hAnsi="宋体" w:cs="Arial"/>
          <w:color w:val="auto"/>
          <w:sz w:val="24"/>
          <w:highlight w:val="none"/>
        </w:rPr>
        <w:t xml:space="preserve">                  </w:t>
      </w:r>
    </w:p>
    <w:p w14:paraId="3597B5D9">
      <w:pPr>
        <w:shd w:val="clear"/>
        <w:spacing w:after="0" w:line="360" w:lineRule="auto"/>
        <w:ind w:right="-2" w:firstLine="240"/>
        <w:rPr>
          <w:rFonts w:hint="eastAsia" w:ascii="宋体" w:hAnsi="宋体" w:cs="Arial"/>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2</w:t>
      </w:r>
      <w:r>
        <w:rPr>
          <w:rFonts w:hint="eastAsia" w:ascii="宋体" w:hAnsi="宋体" w:cs="Arial"/>
          <w:color w:val="auto"/>
          <w:sz w:val="24"/>
          <w:highlight w:val="none"/>
        </w:rPr>
        <w:t>）</w:t>
      </w:r>
      <w:r>
        <w:rPr>
          <w:rFonts w:ascii="宋体" w:hAnsi="宋体" w:cs="Arial"/>
          <w:color w:val="auto"/>
          <w:sz w:val="24"/>
          <w:highlight w:val="none"/>
        </w:rPr>
        <w:t>地    址：</w:t>
      </w:r>
      <w:r>
        <w:rPr>
          <w:rFonts w:ascii="宋体" w:hAnsi="宋体" w:cs="Arial"/>
          <w:color w:val="auto"/>
          <w:sz w:val="24"/>
          <w:highlight w:val="none"/>
          <w:u w:val="single"/>
        </w:rPr>
        <w:t xml:space="preserve">                </w:t>
      </w:r>
      <w:r>
        <w:rPr>
          <w:rFonts w:ascii="宋体" w:hAnsi="宋体" w:cs="Arial"/>
          <w:color w:val="auto"/>
          <w:sz w:val="24"/>
          <w:highlight w:val="none"/>
        </w:rPr>
        <w:t xml:space="preserve">  传    真：</w:t>
      </w:r>
      <w:r>
        <w:rPr>
          <w:rFonts w:ascii="宋体" w:hAnsi="宋体" w:cs="Arial"/>
          <w:color w:val="auto"/>
          <w:sz w:val="24"/>
          <w:highlight w:val="none"/>
          <w:u w:val="single"/>
        </w:rPr>
        <w:t xml:space="preserve">         </w:t>
      </w:r>
      <w:r>
        <w:rPr>
          <w:rFonts w:ascii="宋体" w:hAnsi="宋体" w:cs="Arial"/>
          <w:color w:val="auto"/>
          <w:sz w:val="24"/>
          <w:highlight w:val="none"/>
        </w:rPr>
        <w:t xml:space="preserve">                  </w:t>
      </w:r>
    </w:p>
    <w:p w14:paraId="53CC6650">
      <w:pPr>
        <w:shd w:val="clear"/>
        <w:spacing w:after="0" w:line="360" w:lineRule="auto"/>
        <w:ind w:right="-2" w:firstLine="240"/>
        <w:rPr>
          <w:rFonts w:hint="eastAsia" w:ascii="宋体" w:hAnsi="宋体" w:cs="Arial"/>
          <w:color w:val="auto"/>
          <w:sz w:val="24"/>
          <w:highlight w:val="none"/>
          <w:u w:val="single"/>
        </w:rPr>
      </w:pPr>
      <w:r>
        <w:rPr>
          <w:rFonts w:hint="eastAsia" w:ascii="宋体" w:hAnsi="宋体" w:cs="Arial"/>
          <w:color w:val="auto"/>
          <w:sz w:val="24"/>
          <w:highlight w:val="none"/>
        </w:rPr>
        <w:t>（</w:t>
      </w:r>
      <w:r>
        <w:rPr>
          <w:rFonts w:ascii="宋体" w:hAnsi="宋体" w:cs="Arial"/>
          <w:color w:val="auto"/>
          <w:sz w:val="24"/>
          <w:highlight w:val="none"/>
        </w:rPr>
        <w:t>3</w:t>
      </w:r>
      <w:r>
        <w:rPr>
          <w:rFonts w:hint="eastAsia" w:ascii="宋体" w:hAnsi="宋体" w:cs="Arial"/>
          <w:color w:val="auto"/>
          <w:sz w:val="24"/>
          <w:highlight w:val="none"/>
        </w:rPr>
        <w:t>）</w:t>
      </w:r>
      <w:r>
        <w:rPr>
          <w:rFonts w:ascii="宋体" w:hAnsi="宋体" w:cs="Arial"/>
          <w:color w:val="auto"/>
          <w:sz w:val="24"/>
          <w:highlight w:val="none"/>
        </w:rPr>
        <w:t>注册资金：</w:t>
      </w:r>
      <w:r>
        <w:rPr>
          <w:rFonts w:ascii="宋体" w:hAnsi="宋体" w:cs="Arial"/>
          <w:color w:val="auto"/>
          <w:sz w:val="24"/>
          <w:highlight w:val="none"/>
          <w:u w:val="single"/>
        </w:rPr>
        <w:t xml:space="preserve">                </w:t>
      </w:r>
      <w:r>
        <w:rPr>
          <w:rFonts w:ascii="宋体" w:hAnsi="宋体" w:cs="Arial"/>
          <w:color w:val="auto"/>
          <w:sz w:val="24"/>
          <w:highlight w:val="none"/>
        </w:rPr>
        <w:t xml:space="preserve">  经济性质:</w:t>
      </w:r>
      <w:r>
        <w:rPr>
          <w:rFonts w:ascii="宋体" w:hAnsi="宋体" w:cs="Arial"/>
          <w:color w:val="auto"/>
          <w:sz w:val="24"/>
          <w:highlight w:val="none"/>
          <w:u w:val="single"/>
        </w:rPr>
        <w:t xml:space="preserve">          </w:t>
      </w:r>
    </w:p>
    <w:p w14:paraId="255499C2">
      <w:pPr>
        <w:shd w:val="clear"/>
        <w:spacing w:after="0" w:line="360" w:lineRule="auto"/>
        <w:ind w:right="-2" w:firstLine="240"/>
        <w:rPr>
          <w:rFonts w:hint="eastAsia" w:ascii="宋体" w:hAnsi="宋体" w:cs="Arial"/>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4</w:t>
      </w:r>
      <w:r>
        <w:rPr>
          <w:rFonts w:hint="eastAsia" w:ascii="宋体" w:hAnsi="宋体" w:cs="Arial"/>
          <w:color w:val="auto"/>
          <w:sz w:val="24"/>
          <w:highlight w:val="none"/>
        </w:rPr>
        <w:t>）</w:t>
      </w:r>
      <w:r>
        <w:rPr>
          <w:rFonts w:ascii="宋体" w:hAnsi="宋体" w:cs="Arial"/>
          <w:color w:val="auto"/>
          <w:sz w:val="24"/>
          <w:highlight w:val="none"/>
        </w:rPr>
        <w:t>公司经营及资金状况:</w:t>
      </w:r>
    </w:p>
    <w:p w14:paraId="5ACEA458">
      <w:pPr>
        <w:shd w:val="clear"/>
        <w:spacing w:after="0" w:line="360" w:lineRule="auto"/>
        <w:ind w:right="-2"/>
        <w:rPr>
          <w:rFonts w:hint="eastAsia" w:ascii="宋体" w:hAnsi="宋体" w:cs="Arial"/>
          <w:color w:val="auto"/>
          <w:sz w:val="24"/>
          <w:highlight w:val="none"/>
        </w:rPr>
      </w:pPr>
    </w:p>
    <w:p w14:paraId="2741F43B">
      <w:pPr>
        <w:shd w:val="clear"/>
        <w:spacing w:after="0" w:line="360" w:lineRule="auto"/>
        <w:ind w:right="-2" w:firstLine="240"/>
        <w:rPr>
          <w:rFonts w:hint="eastAsia" w:ascii="宋体" w:hAnsi="宋体" w:cs="Arial"/>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5</w:t>
      </w:r>
      <w:r>
        <w:rPr>
          <w:rFonts w:hint="eastAsia" w:ascii="宋体" w:hAnsi="宋体" w:cs="Arial"/>
          <w:color w:val="auto"/>
          <w:sz w:val="24"/>
          <w:highlight w:val="none"/>
        </w:rPr>
        <w:t>）</w:t>
      </w:r>
      <w:r>
        <w:rPr>
          <w:rFonts w:ascii="宋体" w:hAnsi="宋体" w:cs="Arial"/>
          <w:color w:val="auto"/>
          <w:sz w:val="24"/>
          <w:highlight w:val="none"/>
        </w:rPr>
        <w:t>公司开户银行名称及账号：            地   址：</w:t>
      </w:r>
    </w:p>
    <w:p w14:paraId="0FAA67C2">
      <w:pPr>
        <w:shd w:val="clear"/>
        <w:spacing w:after="0" w:line="360" w:lineRule="auto"/>
        <w:ind w:right="-2"/>
        <w:rPr>
          <w:rFonts w:hint="eastAsia" w:ascii="宋体" w:hAnsi="宋体" w:cs="Arial"/>
          <w:color w:val="auto"/>
          <w:sz w:val="24"/>
          <w:highlight w:val="none"/>
          <w:u w:val="single"/>
        </w:rPr>
      </w:pPr>
      <w:r>
        <w:rPr>
          <w:rFonts w:hint="eastAsia" w:ascii="宋体" w:hAnsi="宋体" w:cs="Arial"/>
          <w:color w:val="auto"/>
          <w:sz w:val="24"/>
          <w:highlight w:val="none"/>
          <w:u w:val="single"/>
        </w:rPr>
        <w:t xml:space="preserve">       </w:t>
      </w:r>
      <w:r>
        <w:rPr>
          <w:rFonts w:ascii="宋体" w:hAnsi="宋体" w:cs="Arial"/>
          <w:color w:val="auto"/>
          <w:sz w:val="24"/>
          <w:highlight w:val="none"/>
          <w:u w:val="single"/>
        </w:rPr>
        <w:t xml:space="preserve">                   </w:t>
      </w:r>
      <w:r>
        <w:rPr>
          <w:rFonts w:ascii="宋体" w:hAnsi="宋体" w:cs="Arial"/>
          <w:color w:val="auto"/>
          <w:sz w:val="24"/>
          <w:highlight w:val="none"/>
        </w:rPr>
        <w:t xml:space="preserve">       </w:t>
      </w:r>
      <w:r>
        <w:rPr>
          <w:rFonts w:hint="eastAsia" w:ascii="宋体" w:hAnsi="宋体" w:cs="Arial"/>
          <w:color w:val="auto"/>
          <w:sz w:val="24"/>
          <w:highlight w:val="none"/>
        </w:rPr>
        <w:t xml:space="preserve">  </w:t>
      </w:r>
      <w:r>
        <w:rPr>
          <w:rFonts w:ascii="宋体" w:hAnsi="宋体" w:cs="Arial"/>
          <w:color w:val="auto"/>
          <w:sz w:val="24"/>
          <w:highlight w:val="none"/>
        </w:rPr>
        <w:t xml:space="preserve"> </w:t>
      </w:r>
      <w:r>
        <w:rPr>
          <w:rFonts w:ascii="宋体" w:hAnsi="宋体" w:cs="Arial"/>
          <w:color w:val="auto"/>
          <w:sz w:val="24"/>
          <w:highlight w:val="none"/>
          <w:u w:val="single"/>
        </w:rPr>
        <w:t xml:space="preserve">               </w:t>
      </w:r>
    </w:p>
    <w:p w14:paraId="175F48B6">
      <w:pPr>
        <w:shd w:val="clear"/>
        <w:spacing w:after="0" w:line="360" w:lineRule="auto"/>
        <w:ind w:right="-2"/>
        <w:rPr>
          <w:rFonts w:hint="eastAsia" w:ascii="宋体" w:hAnsi="宋体" w:cs="Arial"/>
          <w:color w:val="auto"/>
          <w:sz w:val="24"/>
          <w:highlight w:val="none"/>
          <w:u w:val="single"/>
        </w:rPr>
      </w:pPr>
      <w:r>
        <w:rPr>
          <w:rFonts w:hint="eastAsia" w:ascii="宋体" w:hAnsi="宋体" w:cs="Arial"/>
          <w:color w:val="auto"/>
          <w:sz w:val="24"/>
          <w:highlight w:val="none"/>
          <w:u w:val="single"/>
        </w:rPr>
        <w:t xml:space="preserve">      </w:t>
      </w:r>
      <w:r>
        <w:rPr>
          <w:rFonts w:ascii="宋体" w:hAnsi="宋体" w:cs="Arial"/>
          <w:color w:val="auto"/>
          <w:sz w:val="24"/>
          <w:highlight w:val="none"/>
          <w:u w:val="single"/>
        </w:rPr>
        <w:t xml:space="preserve">                    </w:t>
      </w:r>
      <w:r>
        <w:rPr>
          <w:rFonts w:ascii="宋体" w:hAnsi="宋体" w:cs="Arial"/>
          <w:color w:val="auto"/>
          <w:sz w:val="24"/>
          <w:highlight w:val="none"/>
        </w:rPr>
        <w:t xml:space="preserve">          </w:t>
      </w:r>
      <w:r>
        <w:rPr>
          <w:rFonts w:ascii="宋体" w:hAnsi="宋体" w:cs="Arial"/>
          <w:color w:val="auto"/>
          <w:sz w:val="24"/>
          <w:highlight w:val="none"/>
          <w:u w:val="single"/>
        </w:rPr>
        <w:t xml:space="preserve">               </w:t>
      </w:r>
    </w:p>
    <w:p w14:paraId="40D931C6">
      <w:pPr>
        <w:shd w:val="clear"/>
        <w:spacing w:after="0" w:line="360" w:lineRule="auto"/>
        <w:ind w:right="-2" w:firstLine="240"/>
        <w:rPr>
          <w:rFonts w:hint="eastAsia" w:ascii="宋体" w:hAnsi="宋体" w:cs="Arial"/>
          <w:color w:val="auto"/>
          <w:sz w:val="24"/>
          <w:highlight w:val="none"/>
        </w:rPr>
      </w:pPr>
      <w:r>
        <w:rPr>
          <w:rFonts w:hint="eastAsia" w:ascii="宋体" w:hAnsi="宋体" w:cs="Arial"/>
          <w:color w:val="auto"/>
          <w:sz w:val="24"/>
          <w:highlight w:val="none"/>
        </w:rPr>
        <w:t>（6）</w:t>
      </w:r>
      <w:r>
        <w:rPr>
          <w:rFonts w:ascii="宋体" w:hAnsi="宋体" w:cs="Arial"/>
          <w:color w:val="auto"/>
          <w:sz w:val="24"/>
          <w:highlight w:val="none"/>
        </w:rPr>
        <w:t xml:space="preserve">营业注册执照号：   </w:t>
      </w:r>
    </w:p>
    <w:p w14:paraId="3A4B4728">
      <w:pPr>
        <w:shd w:val="clear"/>
        <w:spacing w:after="0" w:line="360" w:lineRule="auto"/>
        <w:ind w:right="-2"/>
        <w:rPr>
          <w:rFonts w:hint="eastAsia" w:ascii="宋体" w:hAnsi="宋体" w:cs="Arial"/>
          <w:color w:val="auto"/>
          <w:sz w:val="24"/>
          <w:highlight w:val="none"/>
        </w:rPr>
      </w:pPr>
      <w:r>
        <w:rPr>
          <w:rFonts w:ascii="宋体" w:hAnsi="宋体" w:cs="Arial"/>
          <w:color w:val="auto"/>
          <w:sz w:val="24"/>
          <w:highlight w:val="none"/>
        </w:rPr>
        <w:t xml:space="preserve">   </w:t>
      </w:r>
    </w:p>
    <w:p w14:paraId="665A1B1C">
      <w:pPr>
        <w:shd w:val="clear"/>
        <w:spacing w:after="0" w:line="360" w:lineRule="auto"/>
        <w:ind w:right="-2"/>
        <w:rPr>
          <w:rFonts w:hint="eastAsia" w:ascii="宋体" w:hAnsi="宋体" w:cs="Arial"/>
          <w:color w:val="auto"/>
          <w:sz w:val="24"/>
          <w:highlight w:val="none"/>
        </w:rPr>
      </w:pPr>
      <w:r>
        <w:rPr>
          <w:rFonts w:hint="eastAsia" w:ascii="宋体" w:hAnsi="宋体" w:cs="Arial"/>
          <w:color w:val="auto"/>
          <w:sz w:val="24"/>
          <w:highlight w:val="none"/>
        </w:rPr>
        <w:t xml:space="preserve">  （7）其他说明：</w:t>
      </w:r>
    </w:p>
    <w:p w14:paraId="7A4507C3">
      <w:pPr>
        <w:shd w:val="clear"/>
        <w:spacing w:after="0" w:line="360" w:lineRule="auto"/>
        <w:ind w:right="-2"/>
        <w:rPr>
          <w:rFonts w:hint="eastAsia" w:ascii="宋体" w:hAnsi="宋体" w:cs="Arial"/>
          <w:color w:val="auto"/>
          <w:sz w:val="24"/>
          <w:highlight w:val="none"/>
        </w:rPr>
      </w:pPr>
      <w:r>
        <w:rPr>
          <w:rFonts w:ascii="宋体" w:hAnsi="宋体" w:cs="Arial"/>
          <w:color w:val="auto"/>
          <w:sz w:val="24"/>
          <w:highlight w:val="none"/>
        </w:rPr>
        <w:t xml:space="preserve">        </w:t>
      </w:r>
    </w:p>
    <w:p w14:paraId="4ED05156">
      <w:pPr>
        <w:shd w:val="clear"/>
        <w:spacing w:after="0" w:line="360" w:lineRule="auto"/>
        <w:ind w:right="-2"/>
        <w:rPr>
          <w:rFonts w:hint="eastAsia" w:ascii="宋体" w:hAnsi="宋体" w:cs="Arial"/>
          <w:color w:val="auto"/>
          <w:sz w:val="24"/>
          <w:highlight w:val="none"/>
        </w:rPr>
      </w:pPr>
    </w:p>
    <w:p w14:paraId="397B9856">
      <w:pPr>
        <w:shd w:val="clear"/>
        <w:spacing w:after="0" w:line="360" w:lineRule="auto"/>
        <w:ind w:right="-2" w:firstLine="570"/>
        <w:rPr>
          <w:rFonts w:hint="eastAsia" w:ascii="宋体" w:hAnsi="宋体" w:cs="Arial"/>
          <w:color w:val="auto"/>
          <w:sz w:val="24"/>
          <w:highlight w:val="none"/>
        </w:rPr>
      </w:pPr>
    </w:p>
    <w:p w14:paraId="277FC443">
      <w:pPr>
        <w:shd w:val="clear"/>
        <w:spacing w:after="0" w:line="360" w:lineRule="auto"/>
        <w:ind w:right="-2" w:firstLine="570"/>
        <w:rPr>
          <w:rFonts w:hint="eastAsia" w:ascii="宋体" w:hAnsi="宋体" w:cs="Arial"/>
          <w:color w:val="auto"/>
          <w:sz w:val="24"/>
          <w:highlight w:val="none"/>
        </w:rPr>
      </w:pPr>
      <w:r>
        <w:rPr>
          <w:rFonts w:ascii="宋体" w:hAnsi="宋体" w:cs="Arial"/>
          <w:color w:val="auto"/>
          <w:sz w:val="24"/>
          <w:highlight w:val="none"/>
        </w:rPr>
        <w:t>我/我们声明以上所述是正确无误的，您有权进行您认为必要的所有调查。</w:t>
      </w:r>
    </w:p>
    <w:p w14:paraId="2FEB789D">
      <w:pPr>
        <w:shd w:val="clear"/>
        <w:spacing w:after="0" w:line="360" w:lineRule="auto"/>
        <w:ind w:right="-2"/>
        <w:rPr>
          <w:rFonts w:hint="eastAsia" w:ascii="宋体" w:hAnsi="宋体" w:cs="Arial"/>
          <w:color w:val="auto"/>
          <w:sz w:val="24"/>
          <w:highlight w:val="none"/>
        </w:rPr>
      </w:pPr>
    </w:p>
    <w:p w14:paraId="3B58022C">
      <w:pPr>
        <w:shd w:val="clear"/>
        <w:spacing w:after="0" w:line="360" w:lineRule="auto"/>
        <w:ind w:right="-2"/>
        <w:jc w:val="center"/>
        <w:rPr>
          <w:rFonts w:hint="eastAsia" w:ascii="宋体" w:hAnsi="宋体"/>
          <w:b/>
          <w:color w:val="auto"/>
          <w:sz w:val="24"/>
          <w:highlight w:val="none"/>
        </w:rPr>
      </w:pPr>
      <w:r>
        <w:rPr>
          <w:rFonts w:ascii="宋体" w:hAnsi="宋体" w:cs="Arial"/>
          <w:color w:val="auto"/>
          <w:sz w:val="24"/>
          <w:highlight w:val="none"/>
        </w:rPr>
        <w:br w:type="page"/>
      </w:r>
      <w:r>
        <w:rPr>
          <w:rFonts w:hint="eastAsia" w:ascii="宋体" w:hAnsi="宋体"/>
          <w:b/>
          <w:color w:val="auto"/>
          <w:sz w:val="24"/>
          <w:highlight w:val="none"/>
        </w:rPr>
        <w:t>（二）投标人的类似业绩一览表</w:t>
      </w:r>
    </w:p>
    <w:p w14:paraId="7F12BE62">
      <w:pPr>
        <w:shd w:val="clear"/>
        <w:spacing w:after="0" w:line="300" w:lineRule="atLeast"/>
        <w:ind w:right="-2"/>
        <w:jc w:val="center"/>
        <w:rPr>
          <w:rFonts w:hint="eastAsia" w:ascii="宋体" w:hAnsi="宋体"/>
          <w:b/>
          <w:color w:val="auto"/>
          <w:highlight w:val="none"/>
        </w:rPr>
      </w:pPr>
    </w:p>
    <w:p w14:paraId="4C49FFF9">
      <w:pPr>
        <w:shd w:val="clear"/>
        <w:spacing w:after="0"/>
        <w:ind w:right="-2"/>
        <w:rPr>
          <w:rFonts w:hint="eastAsia" w:ascii="宋体" w:hAnsi="宋体" w:cs="Arial"/>
          <w:color w:val="auto"/>
          <w:sz w:val="24"/>
          <w:highlight w:val="none"/>
        </w:rPr>
      </w:pPr>
      <w:r>
        <w:rPr>
          <w:rFonts w:ascii="宋体" w:hAnsi="宋体" w:cs="Arial"/>
          <w:color w:val="auto"/>
          <w:sz w:val="24"/>
          <w:highlight w:val="none"/>
        </w:rPr>
        <w:t>投标人:</w:t>
      </w:r>
    </w:p>
    <w:tbl>
      <w:tblPr>
        <w:tblStyle w:val="17"/>
        <w:tblW w:w="4997" w:type="pct"/>
        <w:tblInd w:w="0" w:type="dxa"/>
        <w:tblLayout w:type="autofit"/>
        <w:tblCellMar>
          <w:top w:w="0" w:type="dxa"/>
          <w:left w:w="108" w:type="dxa"/>
          <w:bottom w:w="0" w:type="dxa"/>
          <w:right w:w="108" w:type="dxa"/>
        </w:tblCellMar>
      </w:tblPr>
      <w:tblGrid>
        <w:gridCol w:w="1113"/>
        <w:gridCol w:w="2002"/>
        <w:gridCol w:w="1286"/>
        <w:gridCol w:w="1571"/>
        <w:gridCol w:w="999"/>
        <w:gridCol w:w="1001"/>
        <w:gridCol w:w="1592"/>
      </w:tblGrid>
      <w:tr w14:paraId="626AFB3B">
        <w:tblPrEx>
          <w:tblCellMar>
            <w:top w:w="0" w:type="dxa"/>
            <w:left w:w="108" w:type="dxa"/>
            <w:bottom w:w="0" w:type="dxa"/>
            <w:right w:w="108" w:type="dxa"/>
          </w:tblCellMar>
        </w:tblPrEx>
        <w:trPr>
          <w:trHeight w:val="328" w:hRule="atLeast"/>
        </w:trPr>
        <w:tc>
          <w:tcPr>
            <w:tcW w:w="582" w:type="pct"/>
            <w:tcBorders>
              <w:top w:val="single" w:color="000000" w:sz="4" w:space="0"/>
              <w:left w:val="single" w:color="000000" w:sz="4" w:space="0"/>
              <w:bottom w:val="single" w:color="000000" w:sz="4" w:space="0"/>
            </w:tcBorders>
            <w:vAlign w:val="center"/>
          </w:tcPr>
          <w:p w14:paraId="4408BCFA">
            <w:pPr>
              <w:shd w:val="clear"/>
              <w:spacing w:after="0"/>
              <w:ind w:right="-2"/>
              <w:jc w:val="center"/>
              <w:rPr>
                <w:rFonts w:hint="eastAsia" w:ascii="宋体" w:hAnsi="宋体" w:cs="Arial"/>
                <w:color w:val="auto"/>
                <w:sz w:val="24"/>
                <w:highlight w:val="none"/>
              </w:rPr>
            </w:pPr>
            <w:r>
              <w:rPr>
                <w:rFonts w:ascii="宋体" w:hAnsi="宋体" w:cs="Arial"/>
                <w:color w:val="auto"/>
                <w:sz w:val="24"/>
                <w:highlight w:val="none"/>
              </w:rPr>
              <w:t>序号</w:t>
            </w:r>
          </w:p>
        </w:tc>
        <w:tc>
          <w:tcPr>
            <w:tcW w:w="1046" w:type="pct"/>
            <w:tcBorders>
              <w:top w:val="single" w:color="000000" w:sz="4" w:space="0"/>
              <w:left w:val="single" w:color="000000" w:sz="4" w:space="0"/>
              <w:bottom w:val="single" w:color="000000" w:sz="4" w:space="0"/>
            </w:tcBorders>
            <w:vAlign w:val="center"/>
          </w:tcPr>
          <w:p w14:paraId="72E82D22">
            <w:pPr>
              <w:shd w:val="clear"/>
              <w:spacing w:after="0"/>
              <w:ind w:right="-2"/>
              <w:jc w:val="center"/>
              <w:rPr>
                <w:rFonts w:hint="eastAsia" w:ascii="宋体" w:hAnsi="宋体" w:cs="Arial"/>
                <w:color w:val="auto"/>
                <w:sz w:val="24"/>
                <w:highlight w:val="none"/>
              </w:rPr>
            </w:pPr>
            <w:r>
              <w:rPr>
                <w:rFonts w:ascii="宋体" w:hAnsi="宋体" w:cs="Arial"/>
                <w:color w:val="auto"/>
                <w:sz w:val="24"/>
                <w:highlight w:val="none"/>
              </w:rPr>
              <w:t>项目名称</w:t>
            </w:r>
          </w:p>
        </w:tc>
        <w:tc>
          <w:tcPr>
            <w:tcW w:w="672" w:type="pct"/>
            <w:tcBorders>
              <w:top w:val="single" w:color="000000" w:sz="4" w:space="0"/>
              <w:left w:val="single" w:color="000000" w:sz="4" w:space="0"/>
              <w:bottom w:val="single" w:color="000000" w:sz="4" w:space="0"/>
            </w:tcBorders>
            <w:vAlign w:val="center"/>
          </w:tcPr>
          <w:p w14:paraId="3EC7E5FF">
            <w:pPr>
              <w:shd w:val="clear"/>
              <w:spacing w:after="0"/>
              <w:ind w:right="-2"/>
              <w:jc w:val="center"/>
              <w:rPr>
                <w:rFonts w:hint="eastAsia" w:ascii="宋体" w:hAnsi="宋体" w:cs="Arial"/>
                <w:color w:val="auto"/>
                <w:sz w:val="24"/>
                <w:highlight w:val="none"/>
              </w:rPr>
            </w:pPr>
            <w:r>
              <w:rPr>
                <w:rFonts w:ascii="宋体" w:hAnsi="宋体" w:cs="Arial"/>
                <w:color w:val="auto"/>
                <w:sz w:val="24"/>
                <w:highlight w:val="none"/>
              </w:rPr>
              <w:t>招标人</w:t>
            </w:r>
          </w:p>
        </w:tc>
        <w:tc>
          <w:tcPr>
            <w:tcW w:w="821" w:type="pct"/>
            <w:tcBorders>
              <w:top w:val="single" w:color="000000" w:sz="4" w:space="0"/>
              <w:left w:val="single" w:color="000000" w:sz="4" w:space="0"/>
              <w:bottom w:val="single" w:color="000000" w:sz="4" w:space="0"/>
            </w:tcBorders>
            <w:vAlign w:val="center"/>
          </w:tcPr>
          <w:p w14:paraId="3EC04B2B">
            <w:pPr>
              <w:shd w:val="clear"/>
              <w:spacing w:after="0"/>
              <w:ind w:right="-2"/>
              <w:jc w:val="center"/>
              <w:rPr>
                <w:rFonts w:hint="eastAsia" w:ascii="宋体" w:hAnsi="宋体" w:cs="Arial"/>
                <w:color w:val="auto"/>
                <w:sz w:val="24"/>
                <w:highlight w:val="none"/>
              </w:rPr>
            </w:pPr>
            <w:r>
              <w:rPr>
                <w:rFonts w:ascii="宋体" w:hAnsi="宋体" w:cs="Arial"/>
                <w:color w:val="auto"/>
                <w:sz w:val="24"/>
                <w:highlight w:val="none"/>
              </w:rPr>
              <w:t>采购时间</w:t>
            </w:r>
          </w:p>
        </w:tc>
        <w:tc>
          <w:tcPr>
            <w:tcW w:w="522" w:type="pct"/>
            <w:tcBorders>
              <w:top w:val="single" w:color="000000" w:sz="4" w:space="0"/>
              <w:left w:val="single" w:color="000000" w:sz="4" w:space="0"/>
              <w:bottom w:val="single" w:color="000000" w:sz="4" w:space="0"/>
              <w:right w:val="single" w:color="auto" w:sz="4" w:space="0"/>
            </w:tcBorders>
            <w:vAlign w:val="center"/>
          </w:tcPr>
          <w:p w14:paraId="376C0B39">
            <w:pPr>
              <w:shd w:val="clear"/>
              <w:spacing w:after="0" w:line="260" w:lineRule="exact"/>
              <w:ind w:right="-2"/>
              <w:jc w:val="center"/>
              <w:rPr>
                <w:rFonts w:hint="eastAsia" w:ascii="宋体" w:hAnsi="宋体" w:cs="Arial"/>
                <w:color w:val="auto"/>
                <w:sz w:val="24"/>
                <w:highlight w:val="none"/>
              </w:rPr>
            </w:pPr>
            <w:r>
              <w:rPr>
                <w:rFonts w:ascii="宋体" w:hAnsi="宋体" w:cs="Arial"/>
                <w:color w:val="auto"/>
                <w:sz w:val="24"/>
                <w:highlight w:val="none"/>
              </w:rPr>
              <w:t>数量</w:t>
            </w:r>
          </w:p>
        </w:tc>
        <w:tc>
          <w:tcPr>
            <w:tcW w:w="523" w:type="pct"/>
            <w:tcBorders>
              <w:top w:val="single" w:color="000000" w:sz="4" w:space="0"/>
              <w:left w:val="single" w:color="auto" w:sz="4" w:space="0"/>
              <w:bottom w:val="single" w:color="000000" w:sz="4" w:space="0"/>
            </w:tcBorders>
            <w:vAlign w:val="center"/>
          </w:tcPr>
          <w:p w14:paraId="77622FC3">
            <w:pPr>
              <w:shd w:val="clear"/>
              <w:spacing w:after="0" w:line="260" w:lineRule="exact"/>
              <w:ind w:right="-2"/>
              <w:jc w:val="center"/>
              <w:rPr>
                <w:rFonts w:hint="eastAsia" w:ascii="宋体" w:hAnsi="宋体" w:cs="Arial"/>
                <w:color w:val="auto"/>
                <w:sz w:val="24"/>
                <w:highlight w:val="none"/>
              </w:rPr>
            </w:pPr>
            <w:r>
              <w:rPr>
                <w:rFonts w:hint="eastAsia" w:ascii="宋体" w:hAnsi="宋体" w:cs="Arial"/>
                <w:color w:val="auto"/>
                <w:sz w:val="24"/>
                <w:highlight w:val="none"/>
              </w:rPr>
              <w:t>金额</w:t>
            </w:r>
          </w:p>
        </w:tc>
        <w:tc>
          <w:tcPr>
            <w:tcW w:w="832" w:type="pct"/>
            <w:tcBorders>
              <w:top w:val="single" w:color="000000" w:sz="4" w:space="0"/>
              <w:left w:val="single" w:color="000000" w:sz="4" w:space="0"/>
              <w:bottom w:val="single" w:color="000000" w:sz="4" w:space="0"/>
              <w:right w:val="single" w:color="000000" w:sz="4" w:space="0"/>
            </w:tcBorders>
            <w:vAlign w:val="center"/>
          </w:tcPr>
          <w:p w14:paraId="69AF2212">
            <w:pPr>
              <w:shd w:val="clear"/>
              <w:spacing w:after="0" w:line="260" w:lineRule="exact"/>
              <w:ind w:right="-2"/>
              <w:jc w:val="center"/>
              <w:rPr>
                <w:rFonts w:hint="eastAsia" w:ascii="宋体" w:hAnsi="宋体" w:cs="Arial"/>
                <w:color w:val="auto"/>
                <w:sz w:val="24"/>
                <w:highlight w:val="none"/>
              </w:rPr>
            </w:pPr>
            <w:r>
              <w:rPr>
                <w:rFonts w:ascii="宋体" w:hAnsi="宋体" w:cs="Arial"/>
                <w:color w:val="auto"/>
                <w:sz w:val="24"/>
                <w:highlight w:val="none"/>
              </w:rPr>
              <w:t>单位联系人电话</w:t>
            </w:r>
          </w:p>
        </w:tc>
      </w:tr>
      <w:tr w14:paraId="4435394F">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7B781905">
            <w:pPr>
              <w:shd w:val="clear"/>
              <w:tabs>
                <w:tab w:val="left" w:pos="300"/>
              </w:tabs>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11081927">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141DE83E">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4A2C9B3A">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21BD0E8B">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69B30CF7">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28A67DD9">
            <w:pPr>
              <w:shd w:val="clear"/>
              <w:spacing w:after="0"/>
              <w:ind w:right="-2"/>
              <w:jc w:val="center"/>
              <w:rPr>
                <w:rFonts w:hint="eastAsia" w:ascii="宋体" w:hAnsi="宋体" w:cs="Arial"/>
                <w:color w:val="auto"/>
                <w:sz w:val="24"/>
                <w:highlight w:val="none"/>
              </w:rPr>
            </w:pPr>
          </w:p>
        </w:tc>
      </w:tr>
      <w:tr w14:paraId="03BB13CA">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0DDE9136">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1407D598">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250100B9">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09794B13">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5C7E58C6">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0211FC18">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A4DAF31">
            <w:pPr>
              <w:shd w:val="clear"/>
              <w:spacing w:after="0"/>
              <w:ind w:right="-2"/>
              <w:jc w:val="center"/>
              <w:rPr>
                <w:rFonts w:hint="eastAsia" w:ascii="宋体" w:hAnsi="宋体" w:cs="Arial"/>
                <w:color w:val="auto"/>
                <w:sz w:val="24"/>
                <w:highlight w:val="none"/>
              </w:rPr>
            </w:pPr>
          </w:p>
        </w:tc>
      </w:tr>
      <w:tr w14:paraId="6396C08A">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14F8FD07">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64D20B6A">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44B47FB4">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91BEF42">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33157E88">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525A70F0">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2424411">
            <w:pPr>
              <w:shd w:val="clear"/>
              <w:spacing w:after="0"/>
              <w:ind w:right="-2"/>
              <w:jc w:val="center"/>
              <w:rPr>
                <w:rFonts w:hint="eastAsia" w:ascii="宋体" w:hAnsi="宋体" w:cs="Arial"/>
                <w:color w:val="auto"/>
                <w:sz w:val="24"/>
                <w:highlight w:val="none"/>
              </w:rPr>
            </w:pPr>
          </w:p>
        </w:tc>
      </w:tr>
      <w:tr w14:paraId="73E4A5C1">
        <w:tblPrEx>
          <w:tblCellMar>
            <w:top w:w="0" w:type="dxa"/>
            <w:left w:w="108" w:type="dxa"/>
            <w:bottom w:w="0" w:type="dxa"/>
            <w:right w:w="108" w:type="dxa"/>
          </w:tblCellMar>
        </w:tblPrEx>
        <w:trPr>
          <w:trHeight w:val="328" w:hRule="atLeast"/>
        </w:trPr>
        <w:tc>
          <w:tcPr>
            <w:tcW w:w="582" w:type="pct"/>
            <w:tcBorders>
              <w:left w:val="single" w:color="000000" w:sz="4" w:space="0"/>
              <w:bottom w:val="single" w:color="000000" w:sz="4" w:space="0"/>
            </w:tcBorders>
            <w:vAlign w:val="center"/>
          </w:tcPr>
          <w:p w14:paraId="63244685">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684295A3">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3A6C17AB">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05D96ACA">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197A72C1">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2455AE22">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07050339">
            <w:pPr>
              <w:shd w:val="clear"/>
              <w:spacing w:after="0"/>
              <w:ind w:right="-2"/>
              <w:jc w:val="center"/>
              <w:rPr>
                <w:rFonts w:hint="eastAsia" w:ascii="宋体" w:hAnsi="宋体" w:cs="Arial"/>
                <w:color w:val="auto"/>
                <w:sz w:val="24"/>
                <w:highlight w:val="none"/>
              </w:rPr>
            </w:pPr>
          </w:p>
        </w:tc>
      </w:tr>
      <w:tr w14:paraId="4F67FD23">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44490671">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3E5D5A71">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611E054B">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6E5B4BB">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1202DBA8">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7F560B25">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6A1E20E">
            <w:pPr>
              <w:shd w:val="clear"/>
              <w:spacing w:after="0"/>
              <w:ind w:right="-2"/>
              <w:jc w:val="center"/>
              <w:rPr>
                <w:rFonts w:hint="eastAsia" w:ascii="宋体" w:hAnsi="宋体" w:cs="Arial"/>
                <w:color w:val="auto"/>
                <w:sz w:val="24"/>
                <w:highlight w:val="none"/>
              </w:rPr>
            </w:pPr>
          </w:p>
        </w:tc>
      </w:tr>
      <w:tr w14:paraId="2580478A">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3ABF9526">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4B2F0BB1">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7F2D6039">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4D5607F6">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3BD0AB3F">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auto" w:sz="4" w:space="0"/>
            </w:tcBorders>
            <w:vAlign w:val="center"/>
          </w:tcPr>
          <w:p w14:paraId="2ED59C6F">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4DC4E514">
            <w:pPr>
              <w:shd w:val="clear"/>
              <w:spacing w:after="0"/>
              <w:ind w:right="-2"/>
              <w:jc w:val="center"/>
              <w:rPr>
                <w:rFonts w:hint="eastAsia" w:ascii="宋体" w:hAnsi="宋体" w:cs="Arial"/>
                <w:color w:val="auto"/>
                <w:sz w:val="24"/>
                <w:highlight w:val="none"/>
              </w:rPr>
            </w:pPr>
          </w:p>
        </w:tc>
      </w:tr>
      <w:tr w14:paraId="79165832">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1304D017">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6105F8DF">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795F43D2">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4C4E7E3">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440DA676">
            <w:pPr>
              <w:shd w:val="clear"/>
              <w:spacing w:after="0"/>
              <w:ind w:right="-2"/>
              <w:jc w:val="center"/>
              <w:rPr>
                <w:rFonts w:hint="eastAsia" w:ascii="宋体" w:hAnsi="宋体" w:cs="Arial"/>
                <w:color w:val="auto"/>
                <w:sz w:val="24"/>
                <w:highlight w:val="none"/>
              </w:rPr>
            </w:pPr>
          </w:p>
        </w:tc>
        <w:tc>
          <w:tcPr>
            <w:tcW w:w="523" w:type="pct"/>
            <w:tcBorders>
              <w:top w:val="single" w:color="auto" w:sz="4" w:space="0"/>
              <w:left w:val="single" w:color="auto" w:sz="4" w:space="0"/>
              <w:bottom w:val="single" w:color="000000" w:sz="4" w:space="0"/>
            </w:tcBorders>
            <w:vAlign w:val="center"/>
          </w:tcPr>
          <w:p w14:paraId="13DB8D08">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58742C4C">
            <w:pPr>
              <w:shd w:val="clear"/>
              <w:spacing w:after="0"/>
              <w:ind w:right="-2"/>
              <w:jc w:val="center"/>
              <w:rPr>
                <w:rFonts w:hint="eastAsia" w:ascii="宋体" w:hAnsi="宋体" w:cs="Arial"/>
                <w:color w:val="auto"/>
                <w:sz w:val="24"/>
                <w:highlight w:val="none"/>
              </w:rPr>
            </w:pPr>
          </w:p>
        </w:tc>
      </w:tr>
      <w:tr w14:paraId="2FA517FA">
        <w:tblPrEx>
          <w:tblCellMar>
            <w:top w:w="0" w:type="dxa"/>
            <w:left w:w="108" w:type="dxa"/>
            <w:bottom w:w="0" w:type="dxa"/>
            <w:right w:w="108" w:type="dxa"/>
          </w:tblCellMar>
        </w:tblPrEx>
        <w:trPr>
          <w:trHeight w:val="328" w:hRule="atLeast"/>
        </w:trPr>
        <w:tc>
          <w:tcPr>
            <w:tcW w:w="582" w:type="pct"/>
            <w:tcBorders>
              <w:left w:val="single" w:color="000000" w:sz="4" w:space="0"/>
              <w:bottom w:val="single" w:color="000000" w:sz="4" w:space="0"/>
            </w:tcBorders>
            <w:vAlign w:val="center"/>
          </w:tcPr>
          <w:p w14:paraId="2D3E2B19">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4484820E">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0968E57F">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087E632C">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682A0DD0">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43FC3C93">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7DE79EF">
            <w:pPr>
              <w:shd w:val="clear"/>
              <w:spacing w:after="0"/>
              <w:ind w:right="-2"/>
              <w:jc w:val="center"/>
              <w:rPr>
                <w:rFonts w:hint="eastAsia" w:ascii="宋体" w:hAnsi="宋体" w:cs="Arial"/>
                <w:color w:val="auto"/>
                <w:sz w:val="24"/>
                <w:highlight w:val="none"/>
              </w:rPr>
            </w:pPr>
          </w:p>
        </w:tc>
      </w:tr>
      <w:tr w14:paraId="2E05F6C1">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01BDAA01">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415705EA">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777ECEC4">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31773C53">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5AD0A5A1">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1A51695C">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B296CD8">
            <w:pPr>
              <w:shd w:val="clear"/>
              <w:spacing w:after="0"/>
              <w:ind w:right="-2"/>
              <w:jc w:val="center"/>
              <w:rPr>
                <w:rFonts w:hint="eastAsia" w:ascii="宋体" w:hAnsi="宋体" w:cs="Arial"/>
                <w:color w:val="auto"/>
                <w:sz w:val="24"/>
                <w:highlight w:val="none"/>
              </w:rPr>
            </w:pPr>
          </w:p>
        </w:tc>
      </w:tr>
      <w:tr w14:paraId="42F3AA43">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56A788B0">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0B7FDED4">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6BA9BADA">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92BAA69">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6A918A3A">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5D801E42">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56D64308">
            <w:pPr>
              <w:shd w:val="clear"/>
              <w:spacing w:after="0"/>
              <w:ind w:right="-2"/>
              <w:jc w:val="center"/>
              <w:rPr>
                <w:rFonts w:hint="eastAsia" w:ascii="宋体" w:hAnsi="宋体" w:cs="Arial"/>
                <w:color w:val="auto"/>
                <w:sz w:val="24"/>
                <w:highlight w:val="none"/>
              </w:rPr>
            </w:pPr>
          </w:p>
        </w:tc>
      </w:tr>
      <w:tr w14:paraId="12461789">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5E90B368">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09922B13">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6536318C">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56F40A97">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266506A2">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5F747FDA">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41BC925">
            <w:pPr>
              <w:shd w:val="clear"/>
              <w:spacing w:after="0"/>
              <w:ind w:right="-2"/>
              <w:jc w:val="center"/>
              <w:rPr>
                <w:rFonts w:hint="eastAsia" w:ascii="宋体" w:hAnsi="宋体" w:cs="Arial"/>
                <w:color w:val="auto"/>
                <w:sz w:val="24"/>
                <w:highlight w:val="none"/>
              </w:rPr>
            </w:pPr>
          </w:p>
        </w:tc>
      </w:tr>
      <w:tr w14:paraId="1589506B">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11201695">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3D931A34">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43692000">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6BF5B27C">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065E7149">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7B32858D">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2C782FA4">
            <w:pPr>
              <w:shd w:val="clear"/>
              <w:spacing w:after="0"/>
              <w:ind w:right="-2"/>
              <w:jc w:val="center"/>
              <w:rPr>
                <w:rFonts w:hint="eastAsia" w:ascii="宋体" w:hAnsi="宋体" w:cs="Arial"/>
                <w:color w:val="auto"/>
                <w:sz w:val="24"/>
                <w:highlight w:val="none"/>
              </w:rPr>
            </w:pPr>
          </w:p>
        </w:tc>
      </w:tr>
      <w:tr w14:paraId="45D0F207">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687CAD3E">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112A2D71">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066C9DE4">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AFD4FD9">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53DA62BD">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43A9B0AB">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1A534D0D">
            <w:pPr>
              <w:shd w:val="clear"/>
              <w:spacing w:after="0"/>
              <w:ind w:right="-2"/>
              <w:jc w:val="center"/>
              <w:rPr>
                <w:rFonts w:hint="eastAsia" w:ascii="宋体" w:hAnsi="宋体" w:cs="Arial"/>
                <w:color w:val="auto"/>
                <w:sz w:val="24"/>
                <w:highlight w:val="none"/>
              </w:rPr>
            </w:pPr>
          </w:p>
        </w:tc>
      </w:tr>
      <w:tr w14:paraId="5BECF01D">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42CC0CE0">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7DC297D7">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43642D91">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C845D48">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7563A2E4">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3B4B4665">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02DDF8D9">
            <w:pPr>
              <w:shd w:val="clear"/>
              <w:spacing w:after="0"/>
              <w:ind w:right="-2"/>
              <w:jc w:val="center"/>
              <w:rPr>
                <w:rFonts w:hint="eastAsia" w:ascii="宋体" w:hAnsi="宋体" w:cs="Arial"/>
                <w:color w:val="auto"/>
                <w:sz w:val="24"/>
                <w:highlight w:val="none"/>
              </w:rPr>
            </w:pPr>
          </w:p>
        </w:tc>
      </w:tr>
      <w:tr w14:paraId="1B22963B">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6F102C88">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15224181">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6302483F">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367B29F5">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26222663">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30057CF0">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73B81690">
            <w:pPr>
              <w:shd w:val="clear"/>
              <w:spacing w:after="0"/>
              <w:ind w:right="-2"/>
              <w:jc w:val="center"/>
              <w:rPr>
                <w:rFonts w:hint="eastAsia" w:ascii="宋体" w:hAnsi="宋体" w:cs="Arial"/>
                <w:color w:val="auto"/>
                <w:sz w:val="24"/>
                <w:highlight w:val="none"/>
              </w:rPr>
            </w:pPr>
          </w:p>
        </w:tc>
      </w:tr>
      <w:tr w14:paraId="58EC5168">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11FFB9AF">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42E487A8">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6317AAB2">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0968DA24">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766BAD8B">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609051B0">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6FE7BBD">
            <w:pPr>
              <w:shd w:val="clear"/>
              <w:spacing w:after="0"/>
              <w:ind w:right="-2"/>
              <w:jc w:val="center"/>
              <w:rPr>
                <w:rFonts w:hint="eastAsia" w:ascii="宋体" w:hAnsi="宋体" w:cs="Arial"/>
                <w:color w:val="auto"/>
                <w:sz w:val="24"/>
                <w:highlight w:val="none"/>
              </w:rPr>
            </w:pPr>
          </w:p>
        </w:tc>
      </w:tr>
      <w:tr w14:paraId="13552FB9">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4DF14B23">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26D38B02">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21C10F78">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5C21ABA3">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0A43AE75">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71E4BF9A">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210AB56A">
            <w:pPr>
              <w:shd w:val="clear"/>
              <w:spacing w:after="0"/>
              <w:ind w:right="-2"/>
              <w:jc w:val="center"/>
              <w:rPr>
                <w:rFonts w:hint="eastAsia" w:ascii="宋体" w:hAnsi="宋体" w:cs="Arial"/>
                <w:color w:val="auto"/>
                <w:sz w:val="24"/>
                <w:highlight w:val="none"/>
              </w:rPr>
            </w:pPr>
          </w:p>
        </w:tc>
      </w:tr>
      <w:tr w14:paraId="54FA44F0">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56780EE6">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643F4DDB">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3CAF2F36">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38353BA7">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54F350C6">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197818B5">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3C1960CC">
            <w:pPr>
              <w:shd w:val="clear"/>
              <w:spacing w:after="0"/>
              <w:ind w:right="-2"/>
              <w:jc w:val="center"/>
              <w:rPr>
                <w:rFonts w:hint="eastAsia" w:ascii="宋体" w:hAnsi="宋体" w:cs="Arial"/>
                <w:color w:val="auto"/>
                <w:sz w:val="24"/>
                <w:highlight w:val="none"/>
              </w:rPr>
            </w:pPr>
          </w:p>
        </w:tc>
      </w:tr>
      <w:tr w14:paraId="694FABA5">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56734B14">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1BE3CA80">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3A9987E7">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5A54313">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38AE2474">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16E375C2">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30B9F701">
            <w:pPr>
              <w:shd w:val="clear"/>
              <w:spacing w:after="0"/>
              <w:ind w:right="-2"/>
              <w:jc w:val="center"/>
              <w:rPr>
                <w:rFonts w:hint="eastAsia" w:ascii="宋体" w:hAnsi="宋体" w:cs="Arial"/>
                <w:color w:val="auto"/>
                <w:sz w:val="24"/>
                <w:highlight w:val="none"/>
              </w:rPr>
            </w:pPr>
          </w:p>
        </w:tc>
      </w:tr>
      <w:tr w14:paraId="1E22D2FA">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4FF83D35">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2670C69F">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076DE5CE">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5258D0C9">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786E946E">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5A3B975B">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238509BE">
            <w:pPr>
              <w:shd w:val="clear"/>
              <w:spacing w:after="0"/>
              <w:ind w:right="-2"/>
              <w:jc w:val="center"/>
              <w:rPr>
                <w:rFonts w:hint="eastAsia" w:ascii="宋体" w:hAnsi="宋体" w:cs="Arial"/>
                <w:color w:val="auto"/>
                <w:sz w:val="24"/>
                <w:highlight w:val="none"/>
              </w:rPr>
            </w:pPr>
          </w:p>
        </w:tc>
      </w:tr>
      <w:tr w14:paraId="0BB4017C">
        <w:tblPrEx>
          <w:tblCellMar>
            <w:top w:w="0" w:type="dxa"/>
            <w:left w:w="108" w:type="dxa"/>
            <w:bottom w:w="0" w:type="dxa"/>
            <w:right w:w="108" w:type="dxa"/>
          </w:tblCellMar>
        </w:tblPrEx>
        <w:trPr>
          <w:trHeight w:val="328" w:hRule="atLeast"/>
        </w:trPr>
        <w:tc>
          <w:tcPr>
            <w:tcW w:w="582" w:type="pct"/>
            <w:tcBorders>
              <w:left w:val="single" w:color="000000" w:sz="4" w:space="0"/>
              <w:bottom w:val="single" w:color="000000" w:sz="4" w:space="0"/>
            </w:tcBorders>
            <w:vAlign w:val="center"/>
          </w:tcPr>
          <w:p w14:paraId="5D3E497C">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0C1CA7B2">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7BBE3117">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6E019849">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12542220">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7AA0E716">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1602FBDC">
            <w:pPr>
              <w:shd w:val="clear"/>
              <w:spacing w:after="0"/>
              <w:ind w:right="-2"/>
              <w:jc w:val="center"/>
              <w:rPr>
                <w:rFonts w:hint="eastAsia" w:ascii="宋体" w:hAnsi="宋体" w:cs="Arial"/>
                <w:color w:val="auto"/>
                <w:sz w:val="24"/>
                <w:highlight w:val="none"/>
              </w:rPr>
            </w:pPr>
          </w:p>
        </w:tc>
      </w:tr>
      <w:tr w14:paraId="150E3105">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40F12C90">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018F7B53">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4BAC0C77">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663A39BE">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485460A8">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384C9B53">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3F5464F2">
            <w:pPr>
              <w:shd w:val="clear"/>
              <w:spacing w:after="0"/>
              <w:ind w:right="-2"/>
              <w:jc w:val="center"/>
              <w:rPr>
                <w:rFonts w:hint="eastAsia" w:ascii="宋体" w:hAnsi="宋体" w:cs="Arial"/>
                <w:color w:val="auto"/>
                <w:sz w:val="24"/>
                <w:highlight w:val="none"/>
              </w:rPr>
            </w:pPr>
          </w:p>
        </w:tc>
      </w:tr>
    </w:tbl>
    <w:p w14:paraId="2846EF84">
      <w:pPr>
        <w:shd w:val="clear"/>
        <w:spacing w:after="0" w:line="360" w:lineRule="auto"/>
        <w:ind w:right="-2" w:firstLine="482" w:firstLineChars="200"/>
        <w:rPr>
          <w:rFonts w:hint="eastAsia" w:ascii="宋体" w:hAnsi="宋体"/>
          <w:b/>
          <w:color w:val="auto"/>
          <w:sz w:val="24"/>
          <w:highlight w:val="none"/>
        </w:rPr>
      </w:pPr>
    </w:p>
    <w:p w14:paraId="6A1C6E90">
      <w:pPr>
        <w:shd w:val="clear"/>
        <w:spacing w:after="0" w:line="360" w:lineRule="auto"/>
        <w:ind w:right="-2" w:firstLine="482" w:firstLineChars="200"/>
        <w:rPr>
          <w:rFonts w:hint="eastAsia" w:ascii="宋体" w:hAnsi="宋体"/>
          <w:b/>
          <w:color w:val="auto"/>
          <w:sz w:val="24"/>
          <w:highlight w:val="none"/>
        </w:rPr>
      </w:pPr>
    </w:p>
    <w:p w14:paraId="11DC23DC">
      <w:pPr>
        <w:shd w:val="clear"/>
        <w:spacing w:after="0" w:line="360" w:lineRule="auto"/>
        <w:ind w:right="-2" w:firstLine="482" w:firstLineChars="200"/>
        <w:rPr>
          <w:rFonts w:hint="eastAsia" w:ascii="宋体" w:hAnsi="宋体"/>
          <w:b/>
          <w:color w:val="auto"/>
          <w:sz w:val="24"/>
          <w:highlight w:val="none"/>
        </w:rPr>
      </w:pPr>
    </w:p>
    <w:p w14:paraId="1AE1D308">
      <w:pPr>
        <w:shd w:val="clear"/>
        <w:spacing w:after="0" w:line="360" w:lineRule="auto"/>
        <w:ind w:right="-2" w:firstLine="482" w:firstLineChars="200"/>
        <w:rPr>
          <w:rFonts w:hint="eastAsia" w:ascii="宋体" w:hAnsi="宋体" w:eastAsia="宋体"/>
          <w:b/>
          <w:color w:val="auto"/>
          <w:highlight w:val="none"/>
          <w:lang w:eastAsia="zh-CN"/>
        </w:rPr>
      </w:pPr>
      <w:r>
        <w:rPr>
          <w:rFonts w:hint="eastAsia" w:ascii="宋体" w:hAnsi="宋体"/>
          <w:b/>
          <w:color w:val="auto"/>
          <w:sz w:val="24"/>
          <w:highlight w:val="none"/>
        </w:rPr>
        <w:t>注：1、将业绩证明材料复印件附在投标文件中</w:t>
      </w:r>
      <w:r>
        <w:rPr>
          <w:rFonts w:hint="eastAsia" w:ascii="宋体" w:hAnsi="宋体"/>
          <w:b/>
          <w:color w:val="auto"/>
          <w:sz w:val="24"/>
          <w:highlight w:val="none"/>
          <w:lang w:eastAsia="zh-CN"/>
        </w:rPr>
        <w:t>。</w:t>
      </w:r>
    </w:p>
    <w:p w14:paraId="4FEF8EAA">
      <w:pPr>
        <w:shd w:val="clear"/>
        <w:spacing w:after="0" w:line="360" w:lineRule="auto"/>
        <w:ind w:left="440" w:leftChars="200" w:right="-2" w:firstLine="482" w:firstLineChars="200"/>
        <w:rPr>
          <w:rFonts w:hint="eastAsia" w:ascii="宋体" w:hAnsi="宋体" w:cs="Arial"/>
          <w:color w:val="auto"/>
          <w:sz w:val="24"/>
          <w:highlight w:val="none"/>
        </w:rPr>
      </w:pPr>
      <w:r>
        <w:rPr>
          <w:rFonts w:hint="eastAsia" w:ascii="宋体" w:hAnsi="宋体"/>
          <w:b/>
          <w:color w:val="auto"/>
          <w:sz w:val="24"/>
          <w:highlight w:val="none"/>
        </w:rPr>
        <w:t>2、上述材料必须真实可信，如有弄虚作假，一旦被发现将按投标文件无效处理，追究有关单位和人员的责任。</w:t>
      </w:r>
    </w:p>
    <w:p w14:paraId="0B895D2B">
      <w:pPr>
        <w:shd w:val="clear"/>
        <w:spacing w:after="0"/>
        <w:ind w:right="-2"/>
        <w:jc w:val="center"/>
        <w:rPr>
          <w:rFonts w:hint="eastAsia" w:ascii="宋体" w:hAnsi="宋体"/>
          <w:color w:val="auto"/>
          <w:sz w:val="24"/>
          <w:highlight w:val="none"/>
        </w:rPr>
      </w:pPr>
      <w:r>
        <w:rPr>
          <w:rFonts w:ascii="宋体" w:hAnsi="宋体"/>
          <w:color w:val="auto"/>
          <w:sz w:val="24"/>
          <w:highlight w:val="none"/>
        </w:rPr>
        <w:br w:type="page"/>
      </w:r>
    </w:p>
    <w:p w14:paraId="33F05388">
      <w:pPr>
        <w:shd w:val="clear"/>
        <w:spacing w:after="0" w:line="340" w:lineRule="exact"/>
        <w:ind w:right="-2"/>
        <w:jc w:val="center"/>
        <w:rPr>
          <w:rFonts w:hint="eastAsia" w:asciiTheme="minorEastAsia" w:hAnsiTheme="minorEastAsia" w:eastAsiaTheme="minorEastAsia"/>
          <w:b/>
          <w:color w:val="auto"/>
          <w:sz w:val="24"/>
          <w:highlight w:val="none"/>
        </w:rPr>
      </w:pPr>
      <w:r>
        <w:rPr>
          <w:rFonts w:hint="eastAsia" w:ascii="宋体" w:hAnsi="宋体"/>
          <w:b/>
          <w:color w:val="auto"/>
          <w:sz w:val="24"/>
          <w:highlight w:val="none"/>
        </w:rPr>
        <w:t>（三）</w:t>
      </w:r>
      <w:r>
        <w:rPr>
          <w:rFonts w:hint="eastAsia" w:asciiTheme="minorEastAsia" w:hAnsiTheme="minorEastAsia" w:eastAsiaTheme="minorEastAsia"/>
          <w:b/>
          <w:color w:val="auto"/>
          <w:sz w:val="24"/>
          <w:highlight w:val="none"/>
        </w:rPr>
        <w:t>服务方案</w:t>
      </w:r>
    </w:p>
    <w:p w14:paraId="5615F8F4">
      <w:pPr>
        <w:shd w:val="clear"/>
        <w:spacing w:after="0" w:line="340" w:lineRule="exact"/>
        <w:ind w:right="-2"/>
        <w:jc w:val="center"/>
        <w:rPr>
          <w:rFonts w:hint="eastAsia" w:ascii="宋体" w:hAnsi="宋体"/>
          <w:color w:val="auto"/>
          <w:sz w:val="24"/>
          <w:highlight w:val="none"/>
        </w:rPr>
      </w:pPr>
    </w:p>
    <w:p w14:paraId="1B9A9040">
      <w:pPr>
        <w:shd w:val="clear"/>
        <w:spacing w:after="0" w:line="360" w:lineRule="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包括但不限于</w:t>
      </w:r>
      <w:r>
        <w:rPr>
          <w:rFonts w:hint="eastAsia" w:ascii="宋体" w:hAnsi="宋体" w:cs="宋体"/>
          <w:bCs/>
          <w:color w:val="auto"/>
          <w:sz w:val="24"/>
          <w:szCs w:val="24"/>
          <w:highlight w:val="none"/>
        </w:rPr>
        <w:t>项目实施方案、工作重点和难点分析及对策措施、服务质量目标及保证措施、服务进度目标及保证措施、服务承诺、</w:t>
      </w:r>
      <w:r>
        <w:rPr>
          <w:rFonts w:hint="eastAsia" w:ascii="宋体" w:hAnsi="宋体" w:cs="宋体"/>
          <w:color w:val="auto"/>
          <w:sz w:val="24"/>
          <w:highlight w:val="none"/>
        </w:rPr>
        <w:t>应急处理解决方案</w:t>
      </w:r>
      <w:r>
        <w:rPr>
          <w:rFonts w:hint="eastAsia" w:ascii="宋体" w:hAnsi="宋体" w:cs="宋体"/>
          <w:bCs/>
          <w:color w:val="auto"/>
          <w:sz w:val="24"/>
          <w:szCs w:val="24"/>
          <w:highlight w:val="none"/>
        </w:rPr>
        <w:t>等。</w:t>
      </w:r>
    </w:p>
    <w:p w14:paraId="316D403F">
      <w:pPr>
        <w:shd w:val="clear"/>
        <w:spacing w:after="0"/>
        <w:ind w:right="-2"/>
        <w:jc w:val="center"/>
        <w:rPr>
          <w:rFonts w:hint="eastAsia" w:ascii="宋体" w:hAnsi="宋体"/>
          <w:bCs/>
          <w:color w:val="auto"/>
          <w:sz w:val="24"/>
          <w:szCs w:val="24"/>
          <w:highlight w:val="none"/>
        </w:rPr>
      </w:pPr>
      <w:r>
        <w:rPr>
          <w:rFonts w:ascii="宋体" w:hAnsi="宋体"/>
          <w:bCs/>
          <w:color w:val="auto"/>
          <w:sz w:val="24"/>
          <w:szCs w:val="24"/>
          <w:highlight w:val="none"/>
        </w:rPr>
        <w:br w:type="page"/>
      </w:r>
    </w:p>
    <w:p w14:paraId="3D589F59">
      <w:pPr>
        <w:shd w:val="clear"/>
        <w:spacing w:after="0"/>
        <w:ind w:right="-2"/>
        <w:jc w:val="center"/>
        <w:rPr>
          <w:rFonts w:hint="eastAsia" w:ascii="宋体" w:hAnsi="宋体"/>
          <w:b/>
          <w:color w:val="auto"/>
          <w:sz w:val="36"/>
          <w:szCs w:val="36"/>
          <w:highlight w:val="none"/>
        </w:rPr>
      </w:pPr>
      <w:r>
        <w:rPr>
          <w:rFonts w:hint="eastAsia" w:ascii="宋体" w:hAnsi="宋体"/>
          <w:b/>
          <w:color w:val="auto"/>
          <w:sz w:val="36"/>
          <w:szCs w:val="36"/>
          <w:highlight w:val="none"/>
        </w:rPr>
        <w:t>七、 投标人需说明的其它问题</w:t>
      </w:r>
    </w:p>
    <w:p w14:paraId="3A5611BC">
      <w:pPr>
        <w:shd w:val="clear"/>
        <w:spacing w:after="0" w:line="340" w:lineRule="exact"/>
        <w:ind w:right="-2"/>
        <w:jc w:val="center"/>
        <w:rPr>
          <w:rFonts w:hint="eastAsia" w:ascii="宋体" w:hAnsi="宋体"/>
          <w:b/>
          <w:color w:val="auto"/>
          <w:sz w:val="28"/>
          <w:highlight w:val="none"/>
        </w:rPr>
      </w:pPr>
    </w:p>
    <w:p w14:paraId="1ED2E462">
      <w:pPr>
        <w:shd w:val="clear"/>
        <w:spacing w:after="0" w:line="360" w:lineRule="auto"/>
        <w:ind w:right="-2"/>
        <w:rPr>
          <w:rFonts w:hint="eastAsia" w:ascii="宋体" w:hAnsi="宋体"/>
          <w:bCs/>
          <w:color w:val="auto"/>
          <w:sz w:val="24"/>
          <w:highlight w:val="none"/>
        </w:rPr>
      </w:pPr>
      <w:r>
        <w:rPr>
          <w:rFonts w:ascii="宋体" w:hAnsi="宋体"/>
          <w:bCs/>
          <w:color w:val="auto"/>
          <w:sz w:val="24"/>
          <w:highlight w:val="none"/>
        </w:rPr>
        <w:t xml:space="preserve">  </w:t>
      </w:r>
      <w:r>
        <w:rPr>
          <w:rFonts w:hint="eastAsia" w:ascii="宋体" w:hAnsi="宋体"/>
          <w:bCs/>
          <w:color w:val="auto"/>
          <w:sz w:val="24"/>
          <w:highlight w:val="none"/>
        </w:rPr>
        <w:t xml:space="preserve">  1、投标人</w:t>
      </w:r>
      <w:r>
        <w:rPr>
          <w:rFonts w:ascii="宋体" w:hAnsi="宋体"/>
          <w:bCs/>
          <w:color w:val="auto"/>
          <w:sz w:val="24"/>
          <w:highlight w:val="none"/>
        </w:rPr>
        <w:t>可提出补充建议或说明，提出比</w:t>
      </w:r>
      <w:r>
        <w:rPr>
          <w:rFonts w:hint="eastAsia" w:ascii="宋体" w:hAnsi="宋体"/>
          <w:bCs/>
          <w:color w:val="auto"/>
          <w:sz w:val="24"/>
          <w:highlight w:val="none"/>
        </w:rPr>
        <w:t>招标</w:t>
      </w:r>
      <w:r>
        <w:rPr>
          <w:rFonts w:ascii="宋体" w:hAnsi="宋体"/>
          <w:bCs/>
          <w:color w:val="auto"/>
          <w:sz w:val="24"/>
          <w:highlight w:val="none"/>
        </w:rPr>
        <w:t>文件的</w:t>
      </w:r>
      <w:r>
        <w:rPr>
          <w:rFonts w:hint="eastAsia" w:ascii="宋体" w:hAnsi="宋体"/>
          <w:bCs/>
          <w:color w:val="auto"/>
          <w:sz w:val="24"/>
          <w:highlight w:val="none"/>
        </w:rPr>
        <w:t>技术</w:t>
      </w:r>
      <w:r>
        <w:rPr>
          <w:rFonts w:ascii="宋体" w:hAnsi="宋体"/>
          <w:bCs/>
          <w:color w:val="auto"/>
          <w:sz w:val="24"/>
          <w:highlight w:val="none"/>
        </w:rPr>
        <w:t>要求更合理的建议方案</w:t>
      </w:r>
      <w:r>
        <w:rPr>
          <w:rFonts w:hint="eastAsia" w:ascii="宋体" w:hAnsi="宋体"/>
          <w:bCs/>
          <w:color w:val="auto"/>
          <w:sz w:val="24"/>
          <w:highlight w:val="none"/>
        </w:rPr>
        <w:t>或其技术偏离可以满足招标人使用要求的理由</w:t>
      </w:r>
      <w:r>
        <w:rPr>
          <w:rFonts w:ascii="宋体" w:hAnsi="宋体"/>
          <w:bCs/>
          <w:color w:val="auto"/>
          <w:sz w:val="24"/>
          <w:highlight w:val="none"/>
        </w:rPr>
        <w:t>，同时应说明对技术条件、价格、</w:t>
      </w:r>
      <w:r>
        <w:rPr>
          <w:rFonts w:hint="eastAsia" w:ascii="宋体" w:hAnsi="宋体"/>
          <w:bCs/>
          <w:color w:val="auto"/>
          <w:sz w:val="24"/>
          <w:highlight w:val="none"/>
        </w:rPr>
        <w:t>服务内容</w:t>
      </w:r>
      <w:r>
        <w:rPr>
          <w:rFonts w:ascii="宋体" w:hAnsi="宋体"/>
          <w:bCs/>
          <w:color w:val="auto"/>
          <w:sz w:val="24"/>
          <w:highlight w:val="none"/>
        </w:rPr>
        <w:t>等方面的影响。</w:t>
      </w:r>
    </w:p>
    <w:p w14:paraId="799C6E51">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2、投标人认为有必要放入投标文件的其他材料。</w:t>
      </w:r>
    </w:p>
    <w:p w14:paraId="6FC75C97">
      <w:pPr>
        <w:shd w:val="clear"/>
        <w:spacing w:after="0" w:line="360" w:lineRule="auto"/>
        <w:ind w:right="-2" w:firstLine="435"/>
        <w:jc w:val="center"/>
        <w:rPr>
          <w:rFonts w:ascii="仿宋_GB2312" w:eastAsia="仿宋_GB2312"/>
          <w:color w:val="auto"/>
          <w:spacing w:val="6"/>
          <w:sz w:val="24"/>
          <w:szCs w:val="30"/>
          <w:highlight w:val="none"/>
        </w:rPr>
      </w:pPr>
      <w:r>
        <w:rPr>
          <w:rFonts w:ascii="宋体" w:hAnsi="宋体"/>
          <w:color w:val="auto"/>
          <w:sz w:val="24"/>
          <w:highlight w:val="none"/>
        </w:rPr>
        <w:br w:type="page"/>
      </w:r>
    </w:p>
    <w:p w14:paraId="5BB8E88B">
      <w:pPr>
        <w:shd w:val="clear"/>
        <w:spacing w:after="0"/>
        <w:ind w:right="-2"/>
        <w:jc w:val="center"/>
        <w:rPr>
          <w:rFonts w:hint="eastAsia" w:ascii="宋体" w:hAnsi="宋体"/>
          <w:color w:val="auto"/>
          <w:sz w:val="24"/>
          <w:highlight w:val="none"/>
        </w:rPr>
      </w:pPr>
    </w:p>
    <w:p w14:paraId="3D67CC01">
      <w:pPr>
        <w:shd w:val="clear"/>
        <w:spacing w:after="0"/>
        <w:ind w:right="-2"/>
        <w:rPr>
          <w:rFonts w:hint="eastAsia" w:ascii="宋体" w:hAnsi="宋体"/>
          <w:bCs/>
          <w:color w:val="auto"/>
          <w:sz w:val="28"/>
          <w:szCs w:val="28"/>
          <w:highlight w:val="none"/>
        </w:rPr>
      </w:pPr>
      <w:r>
        <w:rPr>
          <w:rFonts w:hint="eastAsia" w:ascii="宋体" w:hAnsi="宋体"/>
          <w:bCs/>
          <w:color w:val="auto"/>
          <w:sz w:val="28"/>
          <w:szCs w:val="28"/>
          <w:highlight w:val="none"/>
        </w:rPr>
        <w:t>附件1：</w:t>
      </w:r>
    </w:p>
    <w:p w14:paraId="13C71D29">
      <w:pPr>
        <w:shd w:val="clear"/>
        <w:spacing w:line="360" w:lineRule="auto"/>
        <w:jc w:val="center"/>
        <w:rPr>
          <w:rFonts w:ascii="宋体"/>
          <w:color w:val="auto"/>
          <w:sz w:val="28"/>
          <w:szCs w:val="28"/>
          <w:highlight w:val="none"/>
          <w:u w:val="single"/>
        </w:rPr>
      </w:pPr>
      <w:r>
        <w:rPr>
          <w:rFonts w:hint="eastAsia" w:ascii="宋体" w:hAnsi="宋体" w:cs="宋体"/>
          <w:b/>
          <w:bCs/>
          <w:color w:val="auto"/>
          <w:sz w:val="32"/>
          <w:szCs w:val="32"/>
          <w:highlight w:val="none"/>
        </w:rPr>
        <w:t>资格审查表</w:t>
      </w:r>
    </w:p>
    <w:tbl>
      <w:tblPr>
        <w:tblStyle w:val="1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5524"/>
        <w:gridCol w:w="870"/>
        <w:gridCol w:w="870"/>
        <w:gridCol w:w="870"/>
        <w:gridCol w:w="887"/>
      </w:tblGrid>
      <w:tr w14:paraId="7D928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84" w:type="pct"/>
            <w:vMerge w:val="restart"/>
            <w:vAlign w:val="center"/>
          </w:tcPr>
          <w:p w14:paraId="0E4683D4">
            <w:pPr>
              <w:shd w:val="clear"/>
              <w:spacing w:after="0" w:line="276" w:lineRule="auto"/>
              <w:jc w:val="center"/>
              <w:rPr>
                <w:rFonts w:hint="eastAsia" w:cs="宋体" w:asciiTheme="minorEastAsia" w:hAnsiTheme="minorEastAsia" w:eastAsiaTheme="minorEastAsia"/>
                <w:b/>
                <w:bCs/>
                <w:color w:val="auto"/>
                <w:sz w:val="24"/>
                <w:szCs w:val="24"/>
                <w:highlight w:val="none"/>
              </w:rPr>
            </w:pPr>
            <w:r>
              <w:rPr>
                <w:rFonts w:hint="eastAsia" w:cs="宋体" w:asciiTheme="minorEastAsia" w:hAnsiTheme="minorEastAsia" w:eastAsiaTheme="minorEastAsia"/>
                <w:b/>
                <w:bCs/>
                <w:color w:val="auto"/>
                <w:sz w:val="24"/>
                <w:szCs w:val="24"/>
                <w:highlight w:val="none"/>
              </w:rPr>
              <w:t>序</w:t>
            </w:r>
          </w:p>
          <w:p w14:paraId="568CE32E">
            <w:pPr>
              <w:shd w:val="clear"/>
              <w:spacing w:after="0" w:line="276" w:lineRule="auto"/>
              <w:jc w:val="center"/>
              <w:rPr>
                <w:rFonts w:hint="eastAsia" w:cs="宋体" w:asciiTheme="minorEastAsia" w:hAnsiTheme="minorEastAsia" w:eastAsiaTheme="minorEastAsia"/>
                <w:b/>
                <w:bCs/>
                <w:color w:val="auto"/>
                <w:sz w:val="24"/>
                <w:szCs w:val="24"/>
                <w:highlight w:val="none"/>
              </w:rPr>
            </w:pPr>
            <w:r>
              <w:rPr>
                <w:rFonts w:hint="eastAsia" w:cs="宋体" w:asciiTheme="minorEastAsia" w:hAnsiTheme="minorEastAsia" w:eastAsiaTheme="minorEastAsia"/>
                <w:b/>
                <w:bCs/>
                <w:color w:val="auto"/>
                <w:sz w:val="24"/>
                <w:szCs w:val="24"/>
                <w:highlight w:val="none"/>
              </w:rPr>
              <w:t>号</w:t>
            </w:r>
          </w:p>
        </w:tc>
        <w:tc>
          <w:tcPr>
            <w:tcW w:w="2888" w:type="pct"/>
            <w:vMerge w:val="restart"/>
            <w:vAlign w:val="center"/>
          </w:tcPr>
          <w:p w14:paraId="1A6755E1">
            <w:pPr>
              <w:shd w:val="clear"/>
              <w:spacing w:after="0" w:line="276" w:lineRule="auto"/>
              <w:jc w:val="center"/>
              <w:rPr>
                <w:rFonts w:hint="eastAsia" w:cs="宋体" w:asciiTheme="minorEastAsia" w:hAnsiTheme="minorEastAsia" w:eastAsiaTheme="minorEastAsia"/>
                <w:b/>
                <w:bCs/>
                <w:color w:val="auto"/>
                <w:sz w:val="24"/>
                <w:szCs w:val="24"/>
                <w:highlight w:val="none"/>
              </w:rPr>
            </w:pPr>
            <w:r>
              <w:rPr>
                <w:rFonts w:hint="eastAsia" w:cs="宋体" w:asciiTheme="minorEastAsia" w:hAnsiTheme="minorEastAsia" w:eastAsiaTheme="minorEastAsia"/>
                <w:b/>
                <w:bCs/>
                <w:color w:val="auto"/>
                <w:sz w:val="24"/>
                <w:szCs w:val="24"/>
                <w:highlight w:val="none"/>
              </w:rPr>
              <w:t>审查内容</w:t>
            </w:r>
          </w:p>
        </w:tc>
        <w:tc>
          <w:tcPr>
            <w:tcW w:w="1826" w:type="pct"/>
            <w:gridSpan w:val="4"/>
            <w:vAlign w:val="center"/>
          </w:tcPr>
          <w:p w14:paraId="5C4BD2FF">
            <w:pPr>
              <w:shd w:val="clear"/>
              <w:spacing w:after="0" w:line="276" w:lineRule="auto"/>
              <w:ind w:firstLine="482"/>
              <w:jc w:val="center"/>
              <w:rPr>
                <w:rFonts w:hint="eastAsia" w:asciiTheme="minorEastAsia" w:hAnsiTheme="minorEastAsia" w:eastAsiaTheme="minorEastAsia"/>
                <w:b/>
                <w:bCs/>
                <w:color w:val="auto"/>
                <w:sz w:val="24"/>
                <w:szCs w:val="24"/>
                <w:highlight w:val="none"/>
              </w:rPr>
            </w:pPr>
            <w:r>
              <w:rPr>
                <w:rFonts w:hint="eastAsia" w:cs="宋体" w:asciiTheme="minorEastAsia" w:hAnsiTheme="minorEastAsia" w:eastAsiaTheme="minorEastAsia"/>
                <w:b/>
                <w:bCs/>
                <w:color w:val="auto"/>
                <w:sz w:val="24"/>
                <w:szCs w:val="24"/>
                <w:highlight w:val="none"/>
              </w:rPr>
              <w:t>投标人</w:t>
            </w:r>
          </w:p>
        </w:tc>
      </w:tr>
      <w:tr w14:paraId="05BF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284" w:type="pct"/>
            <w:vMerge w:val="continue"/>
            <w:vAlign w:val="center"/>
          </w:tcPr>
          <w:p w14:paraId="464684FD">
            <w:pPr>
              <w:shd w:val="clear"/>
              <w:spacing w:after="0" w:line="276" w:lineRule="auto"/>
              <w:ind w:firstLine="482"/>
              <w:jc w:val="center"/>
              <w:rPr>
                <w:rFonts w:hint="eastAsia" w:asciiTheme="minorEastAsia" w:hAnsiTheme="minorEastAsia" w:eastAsiaTheme="minorEastAsia"/>
                <w:b/>
                <w:bCs/>
                <w:color w:val="auto"/>
                <w:sz w:val="24"/>
                <w:szCs w:val="24"/>
                <w:highlight w:val="none"/>
              </w:rPr>
            </w:pPr>
          </w:p>
        </w:tc>
        <w:tc>
          <w:tcPr>
            <w:tcW w:w="2888" w:type="pct"/>
            <w:vMerge w:val="continue"/>
            <w:vAlign w:val="center"/>
          </w:tcPr>
          <w:p w14:paraId="486D37A4">
            <w:pPr>
              <w:shd w:val="clear"/>
              <w:spacing w:after="0" w:line="276" w:lineRule="auto"/>
              <w:ind w:firstLine="482"/>
              <w:rPr>
                <w:rFonts w:hint="eastAsia" w:asciiTheme="minorEastAsia" w:hAnsiTheme="minorEastAsia" w:eastAsiaTheme="minorEastAsia"/>
                <w:b/>
                <w:bCs/>
                <w:color w:val="auto"/>
                <w:sz w:val="24"/>
                <w:szCs w:val="24"/>
                <w:highlight w:val="none"/>
              </w:rPr>
            </w:pPr>
          </w:p>
        </w:tc>
        <w:tc>
          <w:tcPr>
            <w:tcW w:w="455" w:type="pct"/>
            <w:vAlign w:val="center"/>
          </w:tcPr>
          <w:p w14:paraId="35AEB204">
            <w:pPr>
              <w:shd w:val="clear"/>
              <w:spacing w:after="0" w:line="276" w:lineRule="auto"/>
              <w:ind w:firstLine="482"/>
              <w:jc w:val="center"/>
              <w:rPr>
                <w:rFonts w:hint="eastAsia" w:asciiTheme="minorEastAsia" w:hAnsiTheme="minorEastAsia" w:eastAsiaTheme="minorEastAsia"/>
                <w:b/>
                <w:bCs/>
                <w:color w:val="auto"/>
                <w:sz w:val="24"/>
                <w:szCs w:val="24"/>
                <w:highlight w:val="none"/>
              </w:rPr>
            </w:pPr>
          </w:p>
        </w:tc>
        <w:tc>
          <w:tcPr>
            <w:tcW w:w="455" w:type="pct"/>
            <w:vAlign w:val="center"/>
          </w:tcPr>
          <w:p w14:paraId="70CF684D">
            <w:pPr>
              <w:shd w:val="clear"/>
              <w:spacing w:after="0" w:line="276" w:lineRule="auto"/>
              <w:ind w:firstLine="482"/>
              <w:jc w:val="center"/>
              <w:rPr>
                <w:rFonts w:hint="eastAsia" w:asciiTheme="minorEastAsia" w:hAnsiTheme="minorEastAsia" w:eastAsiaTheme="minorEastAsia"/>
                <w:b/>
                <w:bCs/>
                <w:color w:val="auto"/>
                <w:sz w:val="24"/>
                <w:szCs w:val="24"/>
                <w:highlight w:val="none"/>
              </w:rPr>
            </w:pPr>
          </w:p>
        </w:tc>
        <w:tc>
          <w:tcPr>
            <w:tcW w:w="455" w:type="pct"/>
            <w:vAlign w:val="center"/>
          </w:tcPr>
          <w:p w14:paraId="024B04EE">
            <w:pPr>
              <w:shd w:val="clear"/>
              <w:spacing w:after="0" w:line="276" w:lineRule="auto"/>
              <w:ind w:firstLine="482"/>
              <w:jc w:val="center"/>
              <w:rPr>
                <w:rFonts w:hint="eastAsia" w:asciiTheme="minorEastAsia" w:hAnsiTheme="minorEastAsia" w:eastAsiaTheme="minorEastAsia"/>
                <w:b/>
                <w:bCs/>
                <w:color w:val="auto"/>
                <w:sz w:val="24"/>
                <w:szCs w:val="24"/>
                <w:highlight w:val="none"/>
              </w:rPr>
            </w:pPr>
          </w:p>
        </w:tc>
        <w:tc>
          <w:tcPr>
            <w:tcW w:w="459" w:type="pct"/>
            <w:vAlign w:val="center"/>
          </w:tcPr>
          <w:p w14:paraId="0EB989DF">
            <w:pPr>
              <w:shd w:val="clear"/>
              <w:spacing w:after="0" w:line="276" w:lineRule="auto"/>
              <w:ind w:firstLine="482"/>
              <w:jc w:val="center"/>
              <w:rPr>
                <w:rFonts w:hint="eastAsia" w:asciiTheme="minorEastAsia" w:hAnsiTheme="minorEastAsia" w:eastAsiaTheme="minorEastAsia"/>
                <w:b/>
                <w:bCs/>
                <w:color w:val="auto"/>
                <w:sz w:val="24"/>
                <w:szCs w:val="24"/>
                <w:highlight w:val="none"/>
              </w:rPr>
            </w:pPr>
          </w:p>
        </w:tc>
      </w:tr>
      <w:tr w14:paraId="7636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12343D30">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w:t>
            </w:r>
          </w:p>
        </w:tc>
        <w:tc>
          <w:tcPr>
            <w:tcW w:w="2888" w:type="pct"/>
            <w:vAlign w:val="center"/>
          </w:tcPr>
          <w:p w14:paraId="201D08E8">
            <w:pPr>
              <w:shd w:val="clear"/>
              <w:spacing w:after="0"/>
              <w:rPr>
                <w:rFonts w:hint="eastAsia" w:ascii="宋体" w:hAnsi="宋体"/>
                <w:color w:val="auto"/>
                <w:sz w:val="24"/>
                <w:highlight w:val="none"/>
              </w:rPr>
            </w:pPr>
            <w:r>
              <w:rPr>
                <w:rFonts w:hint="eastAsia" w:ascii="宋体" w:hAnsi="宋体"/>
                <w:color w:val="auto"/>
                <w:sz w:val="24"/>
                <w:highlight w:val="none"/>
              </w:rPr>
              <w:t>法人或者其他组织的营业执照等主体证明文件或自然人的身份证明（自然人身份证明仅限在自然人作为投标主体时使用）符合要求情况</w:t>
            </w:r>
          </w:p>
        </w:tc>
        <w:tc>
          <w:tcPr>
            <w:tcW w:w="455" w:type="pct"/>
            <w:vAlign w:val="center"/>
          </w:tcPr>
          <w:p w14:paraId="29FFDF78">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299FCB77">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60E564E0">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4F57EA9B">
            <w:pPr>
              <w:shd w:val="clear"/>
              <w:spacing w:after="0" w:line="276" w:lineRule="auto"/>
              <w:ind w:firstLine="480"/>
              <w:rPr>
                <w:rFonts w:hint="eastAsia" w:asciiTheme="minorEastAsia" w:hAnsiTheme="minorEastAsia" w:eastAsiaTheme="minorEastAsia"/>
                <w:color w:val="auto"/>
                <w:sz w:val="24"/>
                <w:szCs w:val="24"/>
                <w:highlight w:val="none"/>
              </w:rPr>
            </w:pPr>
          </w:p>
        </w:tc>
      </w:tr>
      <w:tr w14:paraId="4B6B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01F5AC41">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2</w:t>
            </w:r>
          </w:p>
        </w:tc>
        <w:tc>
          <w:tcPr>
            <w:tcW w:w="2888" w:type="pct"/>
            <w:vAlign w:val="center"/>
          </w:tcPr>
          <w:p w14:paraId="28EC8DC6">
            <w:pPr>
              <w:shd w:val="clear"/>
              <w:spacing w:after="0"/>
              <w:rPr>
                <w:rFonts w:hint="eastAsia" w:ascii="宋体" w:hAnsi="宋体"/>
                <w:color w:val="auto"/>
                <w:sz w:val="24"/>
                <w:highlight w:val="none"/>
              </w:rPr>
            </w:pPr>
            <w:r>
              <w:rPr>
                <w:rFonts w:hint="eastAsia" w:ascii="宋体" w:hAnsi="宋体"/>
                <w:color w:val="auto"/>
                <w:sz w:val="24"/>
                <w:highlight w:val="none"/>
              </w:rPr>
              <w:t>法定代表人（或非法人组织负责人）身份证明书符合要求情况（自然人投标的无需提供）</w:t>
            </w:r>
          </w:p>
        </w:tc>
        <w:tc>
          <w:tcPr>
            <w:tcW w:w="455" w:type="pct"/>
            <w:vAlign w:val="center"/>
          </w:tcPr>
          <w:p w14:paraId="693D4136">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369D2D61">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16AEAA39">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0E62641D">
            <w:pPr>
              <w:shd w:val="clear"/>
              <w:spacing w:after="0" w:line="276" w:lineRule="auto"/>
              <w:ind w:firstLine="480"/>
              <w:rPr>
                <w:rFonts w:hint="eastAsia" w:asciiTheme="minorEastAsia" w:hAnsiTheme="minorEastAsia" w:eastAsiaTheme="minorEastAsia"/>
                <w:color w:val="auto"/>
                <w:sz w:val="24"/>
                <w:szCs w:val="24"/>
                <w:highlight w:val="none"/>
              </w:rPr>
            </w:pPr>
          </w:p>
        </w:tc>
      </w:tr>
      <w:tr w14:paraId="74F7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5C1F8BA7">
            <w:pPr>
              <w:shd w:val="clear"/>
              <w:spacing w:after="0" w:line="276" w:lineRule="auto"/>
              <w:jc w:val="center"/>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3</w:t>
            </w:r>
          </w:p>
        </w:tc>
        <w:tc>
          <w:tcPr>
            <w:tcW w:w="2888" w:type="pct"/>
            <w:vAlign w:val="center"/>
          </w:tcPr>
          <w:p w14:paraId="066F617F">
            <w:pPr>
              <w:shd w:val="clear"/>
              <w:spacing w:after="0"/>
              <w:rPr>
                <w:rFonts w:hint="eastAsia" w:ascii="宋体" w:hAnsi="宋体"/>
                <w:color w:val="auto"/>
                <w:sz w:val="24"/>
                <w:highlight w:val="none"/>
              </w:rPr>
            </w:pPr>
            <w:r>
              <w:rPr>
                <w:rFonts w:hint="eastAsia" w:ascii="宋体" w:hAnsi="宋体"/>
                <w:color w:val="auto"/>
                <w:sz w:val="24"/>
                <w:highlight w:val="none"/>
              </w:rPr>
              <w:t>法定代表人授权书符合要求情况（授权委托人参加投标的须提供）</w:t>
            </w:r>
          </w:p>
        </w:tc>
        <w:tc>
          <w:tcPr>
            <w:tcW w:w="455" w:type="pct"/>
            <w:vAlign w:val="center"/>
          </w:tcPr>
          <w:p w14:paraId="34E4CFFF">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18A7BB08">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1EEE1BAD">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2BF45800">
            <w:pPr>
              <w:shd w:val="clear"/>
              <w:spacing w:after="0" w:line="276" w:lineRule="auto"/>
              <w:ind w:firstLine="480"/>
              <w:rPr>
                <w:rFonts w:hint="eastAsia" w:asciiTheme="minorEastAsia" w:hAnsiTheme="minorEastAsia" w:eastAsiaTheme="minorEastAsia"/>
                <w:color w:val="auto"/>
                <w:sz w:val="24"/>
                <w:szCs w:val="24"/>
                <w:highlight w:val="none"/>
              </w:rPr>
            </w:pPr>
          </w:p>
        </w:tc>
      </w:tr>
      <w:tr w14:paraId="0824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36FB332B">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4</w:t>
            </w:r>
          </w:p>
        </w:tc>
        <w:tc>
          <w:tcPr>
            <w:tcW w:w="5527" w:type="dxa"/>
            <w:vAlign w:val="center"/>
          </w:tcPr>
          <w:p w14:paraId="10FE94A2">
            <w:pPr>
              <w:shd w:val="clear"/>
              <w:spacing w:after="0"/>
              <w:rPr>
                <w:rFonts w:hint="eastAsia" w:ascii="宋体" w:hAnsi="宋体"/>
                <w:color w:val="auto"/>
                <w:sz w:val="24"/>
                <w:highlight w:val="none"/>
              </w:rPr>
            </w:pPr>
            <w:r>
              <w:rPr>
                <w:rFonts w:hint="eastAsia" w:cs="宋体" w:asciiTheme="minorEastAsia" w:hAnsiTheme="minorEastAsia" w:eastAsiaTheme="minorEastAsia"/>
                <w:color w:val="auto"/>
                <w:sz w:val="24"/>
                <w:szCs w:val="24"/>
                <w:highlight w:val="none"/>
              </w:rPr>
              <w:t>项目经理资格符合要求情况</w:t>
            </w:r>
          </w:p>
        </w:tc>
        <w:tc>
          <w:tcPr>
            <w:tcW w:w="455" w:type="pct"/>
            <w:vAlign w:val="center"/>
          </w:tcPr>
          <w:p w14:paraId="2D03B6DF">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2954FFC2">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22671596">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12586BFE">
            <w:pPr>
              <w:shd w:val="clear"/>
              <w:spacing w:after="0" w:line="276" w:lineRule="auto"/>
              <w:ind w:firstLine="480"/>
              <w:rPr>
                <w:rFonts w:hint="eastAsia" w:asciiTheme="minorEastAsia" w:hAnsiTheme="minorEastAsia" w:eastAsiaTheme="minorEastAsia"/>
                <w:color w:val="auto"/>
                <w:sz w:val="24"/>
                <w:szCs w:val="24"/>
                <w:highlight w:val="none"/>
              </w:rPr>
            </w:pPr>
          </w:p>
        </w:tc>
      </w:tr>
      <w:tr w14:paraId="10E5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75D5B86C">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5</w:t>
            </w:r>
          </w:p>
        </w:tc>
        <w:tc>
          <w:tcPr>
            <w:tcW w:w="5527" w:type="dxa"/>
            <w:vAlign w:val="center"/>
          </w:tcPr>
          <w:p w14:paraId="7E3528B1">
            <w:pPr>
              <w:shd w:val="clear"/>
              <w:spacing w:after="0" w:line="276" w:lineRule="auto"/>
              <w:rPr>
                <w:rFonts w:hint="eastAsia"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企业资质符合要求情况</w:t>
            </w:r>
          </w:p>
        </w:tc>
        <w:tc>
          <w:tcPr>
            <w:tcW w:w="455" w:type="pct"/>
            <w:vAlign w:val="center"/>
          </w:tcPr>
          <w:p w14:paraId="766C6736">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7E1F73DC">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234CAB0E">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550CA8ED">
            <w:pPr>
              <w:shd w:val="clear"/>
              <w:spacing w:after="0" w:line="276" w:lineRule="auto"/>
              <w:ind w:firstLine="480"/>
              <w:rPr>
                <w:rFonts w:hint="eastAsia" w:asciiTheme="minorEastAsia" w:hAnsiTheme="minorEastAsia" w:eastAsiaTheme="minorEastAsia"/>
                <w:color w:val="auto"/>
                <w:sz w:val="24"/>
                <w:szCs w:val="24"/>
                <w:highlight w:val="none"/>
              </w:rPr>
            </w:pPr>
          </w:p>
        </w:tc>
      </w:tr>
      <w:tr w14:paraId="7047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32349F24">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6</w:t>
            </w:r>
          </w:p>
        </w:tc>
        <w:tc>
          <w:tcPr>
            <w:tcW w:w="5527" w:type="dxa"/>
            <w:vAlign w:val="center"/>
          </w:tcPr>
          <w:p w14:paraId="511E922B">
            <w:pPr>
              <w:shd w:val="clear"/>
              <w:spacing w:after="0" w:line="276" w:lineRule="auto"/>
              <w:rPr>
                <w:rFonts w:hint="eastAsia" w:cs="宋体" w:asciiTheme="minorEastAsia" w:hAnsiTheme="minorEastAsia" w:eastAsiaTheme="minorEastAsia"/>
                <w:color w:val="auto"/>
                <w:sz w:val="24"/>
                <w:szCs w:val="24"/>
                <w:highlight w:val="none"/>
              </w:rPr>
            </w:pPr>
            <w:r>
              <w:rPr>
                <w:rFonts w:hint="eastAsia" w:asciiTheme="minorEastAsia" w:hAnsiTheme="minorEastAsia" w:eastAsiaTheme="minorEastAsia"/>
                <w:color w:val="auto"/>
                <w:spacing w:val="-12"/>
                <w:sz w:val="24"/>
                <w:szCs w:val="24"/>
                <w:highlight w:val="none"/>
              </w:rPr>
              <w:t>安全生产许可证符合要求情况</w:t>
            </w:r>
          </w:p>
        </w:tc>
        <w:tc>
          <w:tcPr>
            <w:tcW w:w="455" w:type="pct"/>
            <w:vAlign w:val="center"/>
          </w:tcPr>
          <w:p w14:paraId="50B0353B">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7CA67C71">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4931A8CF">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43BB78B0">
            <w:pPr>
              <w:shd w:val="clear"/>
              <w:spacing w:after="0" w:line="276" w:lineRule="auto"/>
              <w:ind w:firstLine="480"/>
              <w:rPr>
                <w:rFonts w:hint="eastAsia" w:asciiTheme="minorEastAsia" w:hAnsiTheme="minorEastAsia" w:eastAsiaTheme="minorEastAsia"/>
                <w:color w:val="auto"/>
                <w:sz w:val="24"/>
                <w:szCs w:val="24"/>
                <w:highlight w:val="none"/>
              </w:rPr>
            </w:pPr>
          </w:p>
        </w:tc>
      </w:tr>
      <w:tr w14:paraId="5B6D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2CCB8180">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7</w:t>
            </w:r>
          </w:p>
        </w:tc>
        <w:tc>
          <w:tcPr>
            <w:tcW w:w="2888" w:type="pct"/>
            <w:shd w:val="clear" w:color="auto" w:fill="auto"/>
            <w:vAlign w:val="center"/>
          </w:tcPr>
          <w:p w14:paraId="3CA1BC2E">
            <w:pPr>
              <w:shd w:val="clear"/>
              <w:spacing w:after="0"/>
              <w:rPr>
                <w:rFonts w:hint="eastAsia" w:ascii="宋体" w:hAnsi="宋体" w:eastAsia="宋体" w:cstheme="minorBidi"/>
                <w:color w:val="auto"/>
                <w:sz w:val="24"/>
                <w:szCs w:val="22"/>
                <w:highlight w:val="none"/>
                <w:lang w:val="en-US" w:eastAsia="zh-CN" w:bidi="ar-SA"/>
              </w:rPr>
            </w:pPr>
            <w:r>
              <w:rPr>
                <w:rFonts w:hint="eastAsia" w:ascii="宋体" w:hAnsi="宋体"/>
                <w:color w:val="auto"/>
                <w:sz w:val="24"/>
                <w:highlight w:val="none"/>
              </w:rPr>
              <w:t>信用承诺书</w:t>
            </w:r>
            <w:r>
              <w:rPr>
                <w:rFonts w:hint="eastAsia" w:cs="宋体" w:asciiTheme="minorEastAsia" w:hAnsiTheme="minorEastAsia" w:eastAsiaTheme="minorEastAsia"/>
                <w:color w:val="auto"/>
                <w:sz w:val="24"/>
                <w:szCs w:val="24"/>
                <w:highlight w:val="none"/>
              </w:rPr>
              <w:t>符合要求情况</w:t>
            </w:r>
          </w:p>
        </w:tc>
        <w:tc>
          <w:tcPr>
            <w:tcW w:w="455" w:type="pct"/>
            <w:vAlign w:val="center"/>
          </w:tcPr>
          <w:p w14:paraId="3FB28735">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15D0209D">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6BB912F1">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3179F5AB">
            <w:pPr>
              <w:shd w:val="clear"/>
              <w:spacing w:after="0" w:line="276" w:lineRule="auto"/>
              <w:ind w:firstLine="480"/>
              <w:rPr>
                <w:rFonts w:hint="eastAsia" w:asciiTheme="minorEastAsia" w:hAnsiTheme="minorEastAsia" w:eastAsiaTheme="minorEastAsia"/>
                <w:color w:val="auto"/>
                <w:sz w:val="24"/>
                <w:szCs w:val="24"/>
                <w:highlight w:val="none"/>
              </w:rPr>
            </w:pPr>
          </w:p>
        </w:tc>
      </w:tr>
      <w:tr w14:paraId="3324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3" w:hRule="atLeast"/>
        </w:trPr>
        <w:tc>
          <w:tcPr>
            <w:tcW w:w="284" w:type="pct"/>
            <w:vAlign w:val="center"/>
          </w:tcPr>
          <w:p w14:paraId="42CD1012">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8</w:t>
            </w:r>
          </w:p>
        </w:tc>
        <w:tc>
          <w:tcPr>
            <w:tcW w:w="2888" w:type="pct"/>
            <w:shd w:val="clear" w:color="auto" w:fill="auto"/>
            <w:vAlign w:val="center"/>
          </w:tcPr>
          <w:p w14:paraId="2B78EB8B">
            <w:pPr>
              <w:shd w:val="clear"/>
              <w:spacing w:after="0"/>
              <w:rPr>
                <w:rFonts w:hint="eastAsia" w:asciiTheme="minorEastAsia" w:hAnsiTheme="minorEastAsia" w:eastAsiaTheme="minorEastAsia" w:cstheme="minorBidi"/>
                <w:color w:val="auto"/>
                <w:sz w:val="24"/>
                <w:szCs w:val="24"/>
                <w:highlight w:val="none"/>
                <w:lang w:val="en-US" w:eastAsia="zh-CN" w:bidi="ar-SA"/>
              </w:rPr>
            </w:pPr>
            <w:r>
              <w:rPr>
                <w:rFonts w:hint="eastAsia" w:asciiTheme="minorEastAsia" w:hAnsiTheme="minorEastAsia" w:eastAsiaTheme="minorEastAsia"/>
                <w:color w:val="auto"/>
                <w:sz w:val="24"/>
                <w:szCs w:val="24"/>
                <w:highlight w:val="none"/>
              </w:rPr>
              <w:t>信用记录符合要求情况（由投标人投标文件中自行提供的查询截图为准）</w:t>
            </w:r>
          </w:p>
        </w:tc>
        <w:tc>
          <w:tcPr>
            <w:tcW w:w="455" w:type="pct"/>
            <w:vAlign w:val="center"/>
          </w:tcPr>
          <w:p w14:paraId="3B89BA22">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1E5FD4D1">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64598B19">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4A988518">
            <w:pPr>
              <w:shd w:val="clear"/>
              <w:spacing w:after="0" w:line="276" w:lineRule="auto"/>
              <w:ind w:firstLine="480"/>
              <w:rPr>
                <w:rFonts w:hint="eastAsia" w:asciiTheme="minorEastAsia" w:hAnsiTheme="minorEastAsia" w:eastAsiaTheme="minorEastAsia"/>
                <w:color w:val="auto"/>
                <w:sz w:val="24"/>
                <w:szCs w:val="24"/>
                <w:highlight w:val="none"/>
              </w:rPr>
            </w:pPr>
          </w:p>
        </w:tc>
      </w:tr>
      <w:tr w14:paraId="1000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016E23E4">
            <w:pPr>
              <w:shd w:val="clear"/>
              <w:spacing w:after="0" w:line="276" w:lineRule="auto"/>
              <w:ind w:firstLine="432"/>
              <w:jc w:val="center"/>
              <w:rPr>
                <w:rFonts w:hint="eastAsia" w:cs="宋体" w:asciiTheme="minorEastAsia" w:hAnsiTheme="minorEastAsia" w:eastAsiaTheme="minorEastAsia"/>
                <w:color w:val="auto"/>
                <w:spacing w:val="-12"/>
                <w:sz w:val="24"/>
                <w:szCs w:val="24"/>
                <w:highlight w:val="none"/>
              </w:rPr>
            </w:pPr>
          </w:p>
        </w:tc>
        <w:tc>
          <w:tcPr>
            <w:tcW w:w="2888" w:type="pct"/>
            <w:vAlign w:val="center"/>
          </w:tcPr>
          <w:p w14:paraId="0F9F4027">
            <w:pPr>
              <w:shd w:val="clear"/>
              <w:spacing w:after="0" w:line="276" w:lineRule="auto"/>
              <w:ind w:firstLine="432"/>
              <w:jc w:val="center"/>
              <w:rPr>
                <w:rFonts w:hint="eastAsia" w:cs="宋体" w:asciiTheme="minorEastAsia" w:hAnsiTheme="minorEastAsia" w:eastAsiaTheme="minorEastAsia"/>
                <w:color w:val="auto"/>
                <w:spacing w:val="-12"/>
                <w:sz w:val="24"/>
                <w:szCs w:val="24"/>
                <w:highlight w:val="none"/>
              </w:rPr>
            </w:pPr>
            <w:r>
              <w:rPr>
                <w:rFonts w:hint="eastAsia" w:cs="宋体" w:asciiTheme="minorEastAsia" w:hAnsiTheme="minorEastAsia" w:eastAsiaTheme="minorEastAsia"/>
                <w:color w:val="auto"/>
                <w:spacing w:val="-12"/>
                <w:sz w:val="24"/>
                <w:szCs w:val="24"/>
                <w:highlight w:val="none"/>
              </w:rPr>
              <w:t>审查结论</w:t>
            </w:r>
          </w:p>
        </w:tc>
        <w:tc>
          <w:tcPr>
            <w:tcW w:w="455" w:type="pct"/>
            <w:vAlign w:val="center"/>
          </w:tcPr>
          <w:p w14:paraId="2A1345A7">
            <w:pPr>
              <w:shd w:val="clear"/>
              <w:spacing w:after="0" w:line="276" w:lineRule="auto"/>
              <w:ind w:firstLine="480"/>
              <w:jc w:val="center"/>
              <w:rPr>
                <w:rFonts w:hint="eastAsia" w:asciiTheme="minorEastAsia" w:hAnsiTheme="minorEastAsia" w:eastAsiaTheme="minorEastAsia"/>
                <w:color w:val="auto"/>
                <w:sz w:val="24"/>
                <w:szCs w:val="24"/>
                <w:highlight w:val="none"/>
              </w:rPr>
            </w:pPr>
          </w:p>
        </w:tc>
        <w:tc>
          <w:tcPr>
            <w:tcW w:w="455" w:type="pct"/>
            <w:vAlign w:val="center"/>
          </w:tcPr>
          <w:p w14:paraId="7EDB2D2E">
            <w:pPr>
              <w:shd w:val="clear"/>
              <w:spacing w:after="0" w:line="276" w:lineRule="auto"/>
              <w:ind w:firstLine="480"/>
              <w:jc w:val="center"/>
              <w:rPr>
                <w:rFonts w:hint="eastAsia" w:asciiTheme="minorEastAsia" w:hAnsiTheme="minorEastAsia" w:eastAsiaTheme="minorEastAsia"/>
                <w:color w:val="auto"/>
                <w:sz w:val="24"/>
                <w:szCs w:val="24"/>
                <w:highlight w:val="none"/>
              </w:rPr>
            </w:pPr>
          </w:p>
        </w:tc>
        <w:tc>
          <w:tcPr>
            <w:tcW w:w="455" w:type="pct"/>
            <w:vAlign w:val="center"/>
          </w:tcPr>
          <w:p w14:paraId="3C9748AC">
            <w:pPr>
              <w:shd w:val="clear"/>
              <w:spacing w:after="0" w:line="276" w:lineRule="auto"/>
              <w:ind w:firstLine="480"/>
              <w:jc w:val="center"/>
              <w:rPr>
                <w:rFonts w:hint="eastAsia" w:asciiTheme="minorEastAsia" w:hAnsiTheme="minorEastAsia" w:eastAsiaTheme="minorEastAsia"/>
                <w:color w:val="auto"/>
                <w:sz w:val="24"/>
                <w:szCs w:val="24"/>
                <w:highlight w:val="none"/>
              </w:rPr>
            </w:pPr>
          </w:p>
        </w:tc>
        <w:tc>
          <w:tcPr>
            <w:tcW w:w="459" w:type="pct"/>
            <w:vAlign w:val="center"/>
          </w:tcPr>
          <w:p w14:paraId="02B2AC30">
            <w:pPr>
              <w:shd w:val="clear"/>
              <w:spacing w:after="0" w:line="276" w:lineRule="auto"/>
              <w:ind w:firstLine="480"/>
              <w:jc w:val="center"/>
              <w:rPr>
                <w:rFonts w:hint="eastAsia" w:asciiTheme="minorEastAsia" w:hAnsiTheme="minorEastAsia" w:eastAsiaTheme="minorEastAsia"/>
                <w:color w:val="auto"/>
                <w:sz w:val="24"/>
                <w:szCs w:val="24"/>
                <w:highlight w:val="none"/>
              </w:rPr>
            </w:pPr>
          </w:p>
        </w:tc>
      </w:tr>
      <w:tr w14:paraId="7BB3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trPr>
        <w:tc>
          <w:tcPr>
            <w:tcW w:w="5000" w:type="pct"/>
            <w:gridSpan w:val="6"/>
            <w:vAlign w:val="center"/>
          </w:tcPr>
          <w:p w14:paraId="467FB195">
            <w:pPr>
              <w:shd w:val="clear"/>
              <w:spacing w:after="0" w:line="276" w:lineRule="auto"/>
              <w:rPr>
                <w:rFonts w:hint="eastAsia"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备注：（有不符合项的，需在此处详细写明理由）</w:t>
            </w:r>
          </w:p>
          <w:p w14:paraId="0FC9A673">
            <w:pPr>
              <w:shd w:val="clear"/>
              <w:spacing w:after="0" w:line="276" w:lineRule="auto"/>
              <w:rPr>
                <w:rFonts w:hint="eastAsia"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                                </w:t>
            </w:r>
          </w:p>
          <w:p w14:paraId="6011D838">
            <w:pPr>
              <w:shd w:val="clear"/>
              <w:spacing w:after="0" w:line="276" w:lineRule="auto"/>
              <w:ind w:firstLine="48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审查人签字：</w:t>
            </w:r>
          </w:p>
          <w:p w14:paraId="1E76286F">
            <w:pPr>
              <w:shd w:val="clear"/>
              <w:spacing w:after="0" w:line="276" w:lineRule="auto"/>
              <w:ind w:firstLine="480"/>
              <w:rPr>
                <w:rFonts w:hint="eastAsia" w:asciiTheme="minorEastAsia" w:hAnsiTheme="minorEastAsia" w:eastAsiaTheme="minorEastAsia"/>
                <w:color w:val="auto"/>
                <w:sz w:val="24"/>
                <w:szCs w:val="24"/>
                <w:highlight w:val="none"/>
              </w:rPr>
            </w:pPr>
          </w:p>
          <w:p w14:paraId="1BA70C1D">
            <w:pPr>
              <w:shd w:val="clear"/>
              <w:spacing w:after="0" w:line="276"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审查人单位：</w:t>
            </w:r>
            <w:r>
              <w:rPr>
                <w:rFonts w:asciiTheme="minorEastAsia" w:hAnsiTheme="minorEastAsia" w:eastAsiaTheme="minorEastAsia"/>
                <w:color w:val="auto"/>
                <w:sz w:val="24"/>
                <w:szCs w:val="24"/>
                <w:highlight w:val="none"/>
              </w:rPr>
              <w:t xml:space="preserve"> </w:t>
            </w:r>
          </w:p>
        </w:tc>
      </w:tr>
    </w:tbl>
    <w:p w14:paraId="2B234454">
      <w:pPr>
        <w:shd w:val="clear"/>
        <w:spacing w:after="0"/>
        <w:rPr>
          <w:rFonts w:hint="eastAsia" w:ascii="宋体" w:hAnsi="宋体" w:cs="宋体"/>
          <w:color w:val="auto"/>
          <w:sz w:val="18"/>
          <w:szCs w:val="18"/>
          <w:highlight w:val="none"/>
        </w:rPr>
      </w:pPr>
      <w:r>
        <w:rPr>
          <w:rFonts w:hint="eastAsia" w:ascii="宋体" w:hAnsi="宋体" w:cs="宋体"/>
          <w:color w:val="auto"/>
          <w:sz w:val="18"/>
          <w:szCs w:val="18"/>
          <w:highlight w:val="none"/>
        </w:rPr>
        <w:t>注：1、货物和服务招标项目的资格审查由采购人或代理机构进行，至少两人。其他采购项目由评委会进行审查。</w:t>
      </w:r>
    </w:p>
    <w:p w14:paraId="5FF481DD">
      <w:pPr>
        <w:shd w:val="clear"/>
        <w:spacing w:after="0"/>
        <w:ind w:firstLine="360" w:firstLineChars="200"/>
        <w:rPr>
          <w:rFonts w:hint="eastAsia" w:ascii="宋体" w:hAnsi="宋体" w:cs="宋体"/>
          <w:color w:val="auto"/>
          <w:sz w:val="18"/>
          <w:szCs w:val="18"/>
          <w:highlight w:val="none"/>
        </w:rPr>
      </w:pPr>
      <w:r>
        <w:rPr>
          <w:rFonts w:hint="eastAsia" w:ascii="宋体" w:hAnsi="宋体" w:cs="宋体"/>
          <w:color w:val="auto"/>
          <w:sz w:val="18"/>
          <w:szCs w:val="18"/>
          <w:highlight w:val="none"/>
        </w:rPr>
        <w:t>2、审查情况或结论合格打√，不合格打×，不合格原因请在备注栏内注明。</w:t>
      </w:r>
    </w:p>
    <w:p w14:paraId="67A3E807">
      <w:pPr>
        <w:shd w:val="clear"/>
        <w:spacing w:after="0"/>
        <w:ind w:firstLine="360" w:firstLineChars="200"/>
        <w:rPr>
          <w:rFonts w:hint="eastAsia" w:ascii="宋体" w:hAnsi="宋体"/>
          <w:color w:val="auto"/>
          <w:sz w:val="18"/>
          <w:szCs w:val="18"/>
          <w:highlight w:val="none"/>
        </w:rPr>
      </w:pPr>
      <w:r>
        <w:rPr>
          <w:rFonts w:hint="eastAsia" w:ascii="宋体" w:hAnsi="宋体"/>
          <w:color w:val="auto"/>
          <w:sz w:val="18"/>
          <w:szCs w:val="18"/>
          <w:highlight w:val="none"/>
        </w:rPr>
        <w:t>3、《资格性审查表》是资格性评审的依据，不得对《资格性审查表》以外的内容进行资格审查。</w:t>
      </w:r>
    </w:p>
    <w:p w14:paraId="6FCFF6F1">
      <w:pPr>
        <w:shd w:val="clear"/>
        <w:adjustRightInd/>
        <w:snapToGrid/>
        <w:spacing w:after="0"/>
        <w:ind w:firstLine="560" w:firstLineChars="200"/>
        <w:rPr>
          <w:rFonts w:ascii="Times New Roman" w:hAnsi="Times New Roman" w:eastAsia="仿宋_GB2312" w:cs="Times New Roman"/>
          <w:color w:val="auto"/>
          <w:kern w:val="2"/>
          <w:szCs w:val="20"/>
          <w:highlight w:val="none"/>
        </w:rPr>
      </w:pPr>
      <w:r>
        <w:rPr>
          <w:rFonts w:ascii="宋体" w:hAnsi="宋体"/>
          <w:bCs/>
          <w:color w:val="auto"/>
          <w:sz w:val="28"/>
          <w:szCs w:val="28"/>
          <w:highlight w:val="none"/>
        </w:rPr>
        <w:br w:type="page"/>
      </w:r>
    </w:p>
    <w:p w14:paraId="34B76596">
      <w:pPr>
        <w:shd w:val="clear"/>
        <w:spacing w:after="0"/>
        <w:ind w:right="-2"/>
        <w:rPr>
          <w:rFonts w:hint="eastAsia" w:ascii="宋体" w:hAnsi="宋体"/>
          <w:color w:val="auto"/>
          <w:sz w:val="44"/>
          <w:highlight w:val="none"/>
        </w:rPr>
      </w:pPr>
      <w:r>
        <w:rPr>
          <w:rFonts w:hint="eastAsia" w:ascii="宋体" w:hAnsi="宋体"/>
          <w:bCs/>
          <w:color w:val="auto"/>
          <w:sz w:val="28"/>
          <w:szCs w:val="28"/>
          <w:highlight w:val="none"/>
        </w:rPr>
        <w:t>附件2：</w:t>
      </w:r>
    </w:p>
    <w:p w14:paraId="782D33BD">
      <w:pPr>
        <w:keepNext/>
        <w:keepLines/>
        <w:shd w:val="clear"/>
        <w:adjustRightInd/>
        <w:snapToGrid/>
        <w:spacing w:after="0" w:line="360" w:lineRule="auto"/>
        <w:ind w:right="-284" w:rightChars="-129"/>
        <w:jc w:val="center"/>
        <w:outlineLvl w:val="1"/>
        <w:rPr>
          <w:rFonts w:hint="eastAsia" w:cs="Times New Roman" w:asciiTheme="minorEastAsia" w:hAnsiTheme="minorEastAsia" w:eastAsiaTheme="minorEastAsia"/>
          <w:b/>
          <w:bCs/>
          <w:color w:val="auto"/>
          <w:kern w:val="2"/>
          <w:sz w:val="32"/>
          <w:szCs w:val="32"/>
          <w:highlight w:val="none"/>
        </w:rPr>
      </w:pPr>
      <w:r>
        <w:rPr>
          <w:rFonts w:hint="eastAsia" w:cs="Times New Roman" w:asciiTheme="minorEastAsia" w:hAnsiTheme="minorEastAsia" w:eastAsiaTheme="minorEastAsia"/>
          <w:b/>
          <w:bCs/>
          <w:color w:val="auto"/>
          <w:kern w:val="2"/>
          <w:sz w:val="32"/>
          <w:szCs w:val="32"/>
          <w:highlight w:val="none"/>
        </w:rPr>
        <w:t>符合性审查表</w:t>
      </w:r>
    </w:p>
    <w:tbl>
      <w:tblPr>
        <w:tblStyle w:val="17"/>
        <w:tblpPr w:leftFromText="180" w:rightFromText="180" w:vertAnchor="text" w:horzAnchor="margin" w:tblpXSpec="center" w:tblpY="15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5983"/>
        <w:gridCol w:w="710"/>
        <w:gridCol w:w="710"/>
        <w:gridCol w:w="710"/>
        <w:gridCol w:w="716"/>
      </w:tblGrid>
      <w:tr w14:paraId="45EF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86" w:type="pct"/>
            <w:vMerge w:val="restart"/>
            <w:vAlign w:val="center"/>
          </w:tcPr>
          <w:p w14:paraId="57FDB052">
            <w:pPr>
              <w:pStyle w:val="6"/>
              <w:shd w:val="clear"/>
              <w:spacing w:line="360" w:lineRule="auto"/>
              <w:ind w:firstLine="0" w:firstLineChars="0"/>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序号</w:t>
            </w:r>
          </w:p>
        </w:tc>
        <w:tc>
          <w:tcPr>
            <w:tcW w:w="3127" w:type="pct"/>
            <w:vMerge w:val="restart"/>
            <w:vAlign w:val="center"/>
          </w:tcPr>
          <w:p w14:paraId="134F5636">
            <w:pPr>
              <w:pStyle w:val="6"/>
              <w:shd w:val="clear"/>
              <w:spacing w:line="360" w:lineRule="auto"/>
              <w:ind w:firstLine="482"/>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审查内容</w:t>
            </w:r>
          </w:p>
        </w:tc>
        <w:tc>
          <w:tcPr>
            <w:tcW w:w="1486" w:type="pct"/>
            <w:gridSpan w:val="4"/>
          </w:tcPr>
          <w:p w14:paraId="304D6E3B">
            <w:pPr>
              <w:pStyle w:val="6"/>
              <w:shd w:val="clear"/>
              <w:spacing w:line="360" w:lineRule="auto"/>
              <w:ind w:firstLine="482"/>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w:t>
            </w:r>
          </w:p>
        </w:tc>
      </w:tr>
      <w:tr w14:paraId="6BEC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386" w:type="pct"/>
            <w:vMerge w:val="continue"/>
            <w:vAlign w:val="center"/>
          </w:tcPr>
          <w:p w14:paraId="75CCCFE5">
            <w:pPr>
              <w:pStyle w:val="6"/>
              <w:shd w:val="clear"/>
              <w:ind w:firstLine="0" w:firstLineChars="0"/>
              <w:jc w:val="center"/>
              <w:rPr>
                <w:rFonts w:hint="eastAsia" w:ascii="宋体" w:hAnsi="宋体"/>
                <w:color w:val="auto"/>
                <w:sz w:val="24"/>
                <w:highlight w:val="none"/>
              </w:rPr>
            </w:pPr>
          </w:p>
        </w:tc>
        <w:tc>
          <w:tcPr>
            <w:tcW w:w="3127" w:type="pct"/>
            <w:vMerge w:val="continue"/>
            <w:vAlign w:val="center"/>
          </w:tcPr>
          <w:p w14:paraId="6DFBCBF8">
            <w:pPr>
              <w:pStyle w:val="6"/>
              <w:shd w:val="clear"/>
              <w:ind w:firstLine="0" w:firstLineChars="0"/>
              <w:jc w:val="left"/>
              <w:rPr>
                <w:rFonts w:ascii="宋体"/>
                <w:color w:val="auto"/>
                <w:sz w:val="24"/>
                <w:highlight w:val="none"/>
              </w:rPr>
            </w:pPr>
          </w:p>
        </w:tc>
        <w:tc>
          <w:tcPr>
            <w:tcW w:w="371" w:type="pct"/>
            <w:vAlign w:val="center"/>
          </w:tcPr>
          <w:p w14:paraId="40FDD862">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F435F71">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4687867A">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0FB17806">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30FA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46C785F7">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1</w:t>
            </w:r>
          </w:p>
        </w:tc>
        <w:tc>
          <w:tcPr>
            <w:tcW w:w="3127" w:type="pct"/>
            <w:vAlign w:val="center"/>
          </w:tcPr>
          <w:p w14:paraId="351F4E67">
            <w:pPr>
              <w:pStyle w:val="6"/>
              <w:shd w:val="clear"/>
              <w:ind w:firstLine="0" w:firstLineChars="0"/>
              <w:jc w:val="left"/>
              <w:rPr>
                <w:rFonts w:ascii="宋体"/>
                <w:color w:val="auto"/>
                <w:sz w:val="24"/>
                <w:highlight w:val="none"/>
              </w:rPr>
            </w:pPr>
            <w:r>
              <w:rPr>
                <w:rFonts w:hint="eastAsia" w:ascii="宋体" w:hAnsi="宋体"/>
                <w:color w:val="auto"/>
                <w:sz w:val="24"/>
                <w:highlight w:val="none"/>
              </w:rPr>
              <w:t>投标有效期满足招标文件要求。</w:t>
            </w:r>
          </w:p>
        </w:tc>
        <w:tc>
          <w:tcPr>
            <w:tcW w:w="371" w:type="pct"/>
            <w:vAlign w:val="center"/>
          </w:tcPr>
          <w:p w14:paraId="01A767DF">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52AF87C2">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656A7367">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3976F721">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1090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43E29527">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2</w:t>
            </w:r>
          </w:p>
        </w:tc>
        <w:tc>
          <w:tcPr>
            <w:tcW w:w="3127" w:type="pct"/>
            <w:vAlign w:val="center"/>
          </w:tcPr>
          <w:p w14:paraId="5D2AF300">
            <w:pPr>
              <w:pStyle w:val="6"/>
              <w:shd w:val="clear"/>
              <w:ind w:firstLine="0" w:firstLineChars="0"/>
              <w:jc w:val="left"/>
              <w:rPr>
                <w:rFonts w:ascii="宋体"/>
                <w:color w:val="auto"/>
                <w:sz w:val="24"/>
                <w:highlight w:val="none"/>
              </w:rPr>
            </w:pPr>
            <w:r>
              <w:rPr>
                <w:rFonts w:hint="eastAsia" w:ascii="宋体" w:hAnsi="宋体"/>
                <w:color w:val="auto"/>
                <w:sz w:val="24"/>
                <w:highlight w:val="none"/>
              </w:rPr>
              <w:t>投标文件完整性符合招标文件实质性要求</w:t>
            </w:r>
          </w:p>
        </w:tc>
        <w:tc>
          <w:tcPr>
            <w:tcW w:w="371" w:type="pct"/>
            <w:vAlign w:val="center"/>
          </w:tcPr>
          <w:p w14:paraId="365A638F">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82BCBC5">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B70B2E5">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77A67D88">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1663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19EE2AC0">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3</w:t>
            </w:r>
          </w:p>
        </w:tc>
        <w:tc>
          <w:tcPr>
            <w:tcW w:w="3127" w:type="pct"/>
            <w:vAlign w:val="center"/>
          </w:tcPr>
          <w:p w14:paraId="2045859B">
            <w:pPr>
              <w:pStyle w:val="6"/>
              <w:shd w:val="clear"/>
              <w:ind w:firstLine="0" w:firstLineChars="0"/>
              <w:jc w:val="left"/>
              <w:rPr>
                <w:rFonts w:ascii="宋体"/>
                <w:color w:val="auto"/>
                <w:sz w:val="24"/>
                <w:highlight w:val="none"/>
              </w:rPr>
            </w:pPr>
            <w:r>
              <w:rPr>
                <w:rFonts w:hint="eastAsia" w:ascii="宋体" w:hAnsi="宋体"/>
                <w:color w:val="auto"/>
                <w:sz w:val="24"/>
                <w:highlight w:val="none"/>
              </w:rPr>
              <w:t>投标文件签署情况符合招标文件实质性要求</w:t>
            </w:r>
          </w:p>
        </w:tc>
        <w:tc>
          <w:tcPr>
            <w:tcW w:w="371" w:type="pct"/>
            <w:vAlign w:val="center"/>
          </w:tcPr>
          <w:p w14:paraId="4273A5A5">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930CF11">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00F6CDB0">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3ECE9FFC">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433A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1C90864C">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4</w:t>
            </w:r>
          </w:p>
        </w:tc>
        <w:tc>
          <w:tcPr>
            <w:tcW w:w="3127" w:type="pct"/>
            <w:vAlign w:val="center"/>
          </w:tcPr>
          <w:p w14:paraId="277B7C09">
            <w:pPr>
              <w:pStyle w:val="6"/>
              <w:shd w:val="clear"/>
              <w:ind w:firstLine="0" w:firstLineChars="0"/>
              <w:jc w:val="left"/>
              <w:rPr>
                <w:rFonts w:ascii="宋体"/>
                <w:color w:val="auto"/>
                <w:sz w:val="24"/>
                <w:highlight w:val="none"/>
              </w:rPr>
            </w:pPr>
            <w:r>
              <w:rPr>
                <w:rFonts w:hint="eastAsia" w:ascii="宋体" w:hAnsi="宋体"/>
                <w:color w:val="auto"/>
                <w:sz w:val="24"/>
                <w:highlight w:val="none"/>
              </w:rPr>
              <w:t>按照招标文件规定报价，未超出预算、最高限价，没有漏项。</w:t>
            </w:r>
          </w:p>
        </w:tc>
        <w:tc>
          <w:tcPr>
            <w:tcW w:w="371" w:type="pct"/>
            <w:vAlign w:val="center"/>
          </w:tcPr>
          <w:p w14:paraId="3CC71C6D">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11697763">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6DA776C8">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1E0126DC">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7C84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29BF33D4">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5</w:t>
            </w:r>
          </w:p>
        </w:tc>
        <w:tc>
          <w:tcPr>
            <w:tcW w:w="3127" w:type="pct"/>
            <w:vAlign w:val="center"/>
          </w:tcPr>
          <w:p w14:paraId="28845A63">
            <w:pPr>
              <w:pStyle w:val="6"/>
              <w:shd w:val="clear"/>
              <w:ind w:firstLine="0" w:firstLineChars="0"/>
              <w:jc w:val="left"/>
              <w:rPr>
                <w:rFonts w:ascii="宋体"/>
                <w:color w:val="auto"/>
                <w:sz w:val="24"/>
                <w:highlight w:val="none"/>
              </w:rPr>
            </w:pPr>
            <w:r>
              <w:rPr>
                <w:rFonts w:hint="eastAsia" w:ascii="宋体" w:hAnsi="宋体"/>
                <w:color w:val="auto"/>
                <w:sz w:val="24"/>
                <w:highlight w:val="none"/>
              </w:rPr>
              <w:t>对第三章项目需求及服务要求中的“★”条款做出实质性响应，未发生重大偏离。</w:t>
            </w:r>
          </w:p>
        </w:tc>
        <w:tc>
          <w:tcPr>
            <w:tcW w:w="371" w:type="pct"/>
            <w:vAlign w:val="center"/>
          </w:tcPr>
          <w:p w14:paraId="68138501">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43727C90">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9919A67">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569C82D9">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1FD77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60B8252D">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6</w:t>
            </w:r>
          </w:p>
        </w:tc>
        <w:tc>
          <w:tcPr>
            <w:tcW w:w="3127" w:type="pct"/>
            <w:vAlign w:val="center"/>
          </w:tcPr>
          <w:p w14:paraId="18595675">
            <w:pPr>
              <w:pStyle w:val="6"/>
              <w:shd w:val="clear"/>
              <w:ind w:firstLine="0" w:firstLineChars="0"/>
              <w:jc w:val="left"/>
              <w:rPr>
                <w:rFonts w:ascii="宋体"/>
                <w:color w:val="auto"/>
                <w:sz w:val="24"/>
                <w:highlight w:val="none"/>
              </w:rPr>
            </w:pPr>
            <w:r>
              <w:rPr>
                <w:rFonts w:hint="eastAsia" w:ascii="宋体" w:hAnsi="宋体"/>
                <w:color w:val="auto"/>
                <w:sz w:val="24"/>
                <w:highlight w:val="none"/>
              </w:rPr>
              <w:t>未发现投标人涂改证明材料或者提供虚假材料。</w:t>
            </w:r>
          </w:p>
        </w:tc>
        <w:tc>
          <w:tcPr>
            <w:tcW w:w="371" w:type="pct"/>
            <w:vAlign w:val="center"/>
          </w:tcPr>
          <w:p w14:paraId="25766D80">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10527C23">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32045B8D">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2355D4C9">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4360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3547DD80">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7</w:t>
            </w:r>
          </w:p>
        </w:tc>
        <w:tc>
          <w:tcPr>
            <w:tcW w:w="3127" w:type="pct"/>
            <w:vAlign w:val="center"/>
          </w:tcPr>
          <w:p w14:paraId="2268559A">
            <w:pPr>
              <w:pStyle w:val="6"/>
              <w:shd w:val="clear"/>
              <w:ind w:firstLine="0" w:firstLineChars="0"/>
              <w:jc w:val="left"/>
              <w:rPr>
                <w:rFonts w:ascii="宋体"/>
                <w:color w:val="auto"/>
                <w:sz w:val="24"/>
                <w:highlight w:val="none"/>
              </w:rPr>
            </w:pPr>
            <w:r>
              <w:rPr>
                <w:rFonts w:hint="eastAsia" w:ascii="宋体" w:hAnsi="宋体"/>
                <w:color w:val="auto"/>
                <w:sz w:val="24"/>
                <w:highlight w:val="none"/>
              </w:rPr>
              <w:t>未发现其他不符合法律法规规定的实质性要求。</w:t>
            </w:r>
          </w:p>
        </w:tc>
        <w:tc>
          <w:tcPr>
            <w:tcW w:w="371" w:type="pct"/>
            <w:vAlign w:val="center"/>
          </w:tcPr>
          <w:p w14:paraId="609D7D32">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32725845">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0987422">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46B7FB2D">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5900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513" w:type="pct"/>
            <w:gridSpan w:val="2"/>
            <w:vAlign w:val="center"/>
          </w:tcPr>
          <w:p w14:paraId="31278B9F">
            <w:pPr>
              <w:pStyle w:val="6"/>
              <w:shd w:val="clear"/>
              <w:spacing w:line="360" w:lineRule="auto"/>
              <w:ind w:firstLine="48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审查结论</w:t>
            </w:r>
          </w:p>
        </w:tc>
        <w:tc>
          <w:tcPr>
            <w:tcW w:w="371" w:type="pct"/>
            <w:vAlign w:val="center"/>
          </w:tcPr>
          <w:p w14:paraId="7BD85DD0">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6ECD3FB5">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171A7924">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3447919E">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773D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5000" w:type="pct"/>
            <w:gridSpan w:val="6"/>
            <w:vAlign w:val="center"/>
          </w:tcPr>
          <w:p w14:paraId="4AF54E6D">
            <w:pPr>
              <w:shd w:val="clear"/>
              <w:spacing w:after="0" w:line="360" w:lineRule="auto"/>
              <w:rPr>
                <w:rFonts w:hint="eastAsia"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备注：（有不符合项的，需在此处详细写明理由）</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w:t>
            </w:r>
          </w:p>
          <w:p w14:paraId="12E36A41">
            <w:pPr>
              <w:pStyle w:val="6"/>
              <w:shd w:val="clear"/>
              <w:spacing w:line="360" w:lineRule="auto"/>
              <w:ind w:firstLine="480"/>
              <w:jc w:val="both"/>
              <w:rPr>
                <w:rFonts w:hint="eastAsia" w:cs="宋体" w:asciiTheme="minorEastAsia" w:hAnsiTheme="minorEastAsia" w:eastAsiaTheme="minorEastAsia"/>
                <w:color w:val="auto"/>
                <w:sz w:val="24"/>
                <w:highlight w:val="none"/>
              </w:rPr>
            </w:pPr>
          </w:p>
          <w:p w14:paraId="43870151">
            <w:pPr>
              <w:pStyle w:val="6"/>
              <w:shd w:val="clear"/>
              <w:spacing w:line="360" w:lineRule="auto"/>
              <w:ind w:left="0" w:leftChars="0" w:firstLine="0" w:firstLineChars="0"/>
              <w:jc w:val="both"/>
              <w:rPr>
                <w:rFonts w:hint="eastAsia"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评委签字：</w:t>
            </w:r>
          </w:p>
        </w:tc>
      </w:tr>
    </w:tbl>
    <w:p w14:paraId="0537BDEF">
      <w:pPr>
        <w:shd w:val="clear"/>
        <w:adjustRightInd/>
        <w:snapToGrid/>
        <w:spacing w:after="0"/>
        <w:rPr>
          <w:rFonts w:ascii="Times New Roman" w:hAnsi="Times New Roman" w:eastAsia="仿宋_GB2312" w:cs="Times New Roman"/>
          <w:color w:val="auto"/>
          <w:kern w:val="2"/>
          <w:szCs w:val="20"/>
          <w:highlight w:val="none"/>
        </w:rPr>
      </w:pPr>
    </w:p>
    <w:p w14:paraId="7E3958EE">
      <w:pPr>
        <w:shd w:val="clear"/>
        <w:adjustRightInd/>
        <w:snapToGrid/>
        <w:spacing w:after="0"/>
        <w:rPr>
          <w:rFonts w:ascii="Times New Roman" w:hAnsi="Times New Roman" w:eastAsia="仿宋_GB2312" w:cs="Times New Roman"/>
          <w:color w:val="auto"/>
          <w:kern w:val="2"/>
          <w:szCs w:val="20"/>
          <w:highlight w:val="none"/>
        </w:rPr>
      </w:pPr>
      <w:r>
        <w:rPr>
          <w:rFonts w:hint="eastAsia" w:ascii="Times New Roman" w:hAnsi="Times New Roman" w:eastAsia="仿宋_GB2312" w:cs="Times New Roman"/>
          <w:color w:val="auto"/>
          <w:kern w:val="2"/>
          <w:szCs w:val="20"/>
          <w:highlight w:val="none"/>
        </w:rPr>
        <w:t>注：</w:t>
      </w:r>
      <w:r>
        <w:rPr>
          <w:rFonts w:ascii="Times New Roman" w:hAnsi="Times New Roman" w:eastAsia="仿宋_GB2312" w:cs="Times New Roman"/>
          <w:color w:val="auto"/>
          <w:kern w:val="2"/>
          <w:szCs w:val="20"/>
          <w:highlight w:val="none"/>
        </w:rPr>
        <w:t>1</w:t>
      </w:r>
      <w:r>
        <w:rPr>
          <w:rFonts w:hint="eastAsia" w:ascii="Times New Roman" w:hAnsi="Times New Roman" w:eastAsia="仿宋_GB2312" w:cs="Times New Roman"/>
          <w:color w:val="auto"/>
          <w:kern w:val="2"/>
          <w:szCs w:val="20"/>
          <w:highlight w:val="none"/>
        </w:rPr>
        <w:t>、合格项打√，不合格项打×，不合格原因请在备注栏内注明。</w:t>
      </w:r>
    </w:p>
    <w:p w14:paraId="6E57EA9C">
      <w:pPr>
        <w:shd w:val="clear"/>
        <w:spacing w:after="0"/>
        <w:ind w:right="-2" w:firstLine="440" w:firstLineChars="200"/>
        <w:rPr>
          <w:rFonts w:ascii="Times New Roman" w:hAnsi="Times New Roman" w:eastAsia="仿宋_GB2312" w:cs="Times New Roman"/>
          <w:color w:val="auto"/>
          <w:kern w:val="2"/>
          <w:szCs w:val="20"/>
          <w:highlight w:val="none"/>
        </w:rPr>
      </w:pPr>
      <w:r>
        <w:rPr>
          <w:rFonts w:hint="eastAsia" w:ascii="Times New Roman" w:hAnsi="Times New Roman" w:eastAsia="仿宋_GB2312" w:cs="Times New Roman"/>
          <w:color w:val="auto"/>
          <w:kern w:val="2"/>
          <w:szCs w:val="20"/>
          <w:highlight w:val="none"/>
        </w:rPr>
        <w:t>2、认定投标文件无效的依据应属于《符合性审查表》所列内容。《符合性审查表》未列明的，不得作为认定投标文件无效的依据。（属于法律法规规定的投标文件无效的情形除外）</w:t>
      </w:r>
    </w:p>
    <w:p w14:paraId="73F1B530">
      <w:pPr>
        <w:shd w:val="clear"/>
        <w:spacing w:after="0"/>
        <w:ind w:right="-2" w:firstLine="480" w:firstLineChars="200"/>
        <w:rPr>
          <w:rFonts w:ascii="Times New Roman" w:hAnsi="Times New Roman" w:eastAsia="仿宋_GB2312" w:cs="Times New Roman"/>
          <w:color w:val="auto"/>
          <w:kern w:val="2"/>
          <w:sz w:val="24"/>
          <w:szCs w:val="20"/>
          <w:highlight w:val="none"/>
        </w:rPr>
        <w:sectPr>
          <w:headerReference r:id="rId7" w:type="default"/>
          <w:pgSz w:w="11906" w:h="16838"/>
          <w:pgMar w:top="1440" w:right="1134" w:bottom="1440" w:left="1418" w:header="794" w:footer="680" w:gutter="0"/>
          <w:pgBorders>
            <w:top w:val="none" w:sz="0" w:space="0"/>
            <w:left w:val="none" w:sz="0" w:space="0"/>
            <w:bottom w:val="none" w:sz="0" w:space="0"/>
            <w:right w:val="none" w:sz="0" w:space="0"/>
          </w:pgBorders>
          <w:pgNumType w:fmt="numberInDash"/>
          <w:cols w:space="708" w:num="1"/>
          <w:docGrid w:linePitch="360" w:charSpace="0"/>
        </w:sectPr>
      </w:pPr>
    </w:p>
    <w:p w14:paraId="5DCF65FC">
      <w:pPr>
        <w:shd w:val="clear"/>
        <w:spacing w:after="0"/>
        <w:ind w:right="-2"/>
        <w:rPr>
          <w:rFonts w:hint="eastAsia" w:ascii="宋体" w:hAnsi="宋体"/>
          <w:color w:val="auto"/>
          <w:sz w:val="44"/>
          <w:highlight w:val="none"/>
        </w:rPr>
      </w:pPr>
      <w:r>
        <w:rPr>
          <w:rFonts w:hint="eastAsia" w:ascii="宋体" w:hAnsi="宋体"/>
          <w:bCs/>
          <w:color w:val="auto"/>
          <w:sz w:val="28"/>
          <w:szCs w:val="28"/>
          <w:highlight w:val="none"/>
        </w:rPr>
        <w:t>附件3：</w:t>
      </w:r>
    </w:p>
    <w:p w14:paraId="53AA48F6">
      <w:pPr>
        <w:shd w:val="clear"/>
        <w:spacing w:after="0"/>
        <w:ind w:right="-2"/>
        <w:jc w:val="center"/>
        <w:rPr>
          <w:rFonts w:hint="eastAsia" w:ascii="宋体" w:hAnsi="宋体"/>
          <w:b/>
          <w:color w:val="auto"/>
          <w:sz w:val="36"/>
          <w:szCs w:val="36"/>
          <w:highlight w:val="none"/>
        </w:rPr>
      </w:pPr>
      <w:r>
        <w:rPr>
          <w:rFonts w:hint="eastAsia" w:ascii="宋体" w:hAnsi="宋体"/>
          <w:b/>
          <w:color w:val="auto"/>
          <w:sz w:val="36"/>
          <w:szCs w:val="36"/>
          <w:highlight w:val="none"/>
        </w:rPr>
        <w:t>评 标 方 法</w:t>
      </w:r>
    </w:p>
    <w:p w14:paraId="4313F699">
      <w:pPr>
        <w:keepNext w:val="0"/>
        <w:keepLines w:val="0"/>
        <w:pageBreakBefore w:val="0"/>
        <w:widowControl/>
        <w:shd w:val="clear"/>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评标方法：本项目采用</w:t>
      </w:r>
      <w:r>
        <w:rPr>
          <w:rFonts w:hint="eastAsia" w:ascii="宋体" w:hAnsi="宋体"/>
          <w:color w:val="auto"/>
          <w:sz w:val="24"/>
          <w:highlight w:val="none"/>
          <w:u w:val="single"/>
        </w:rPr>
        <w:t>综合评分法</w:t>
      </w:r>
      <w:r>
        <w:rPr>
          <w:rFonts w:hint="eastAsia" w:ascii="宋体" w:hAnsi="宋体"/>
          <w:color w:val="auto"/>
          <w:sz w:val="24"/>
          <w:highlight w:val="none"/>
        </w:rPr>
        <w:t>进行评标。</w:t>
      </w:r>
    </w:p>
    <w:p w14:paraId="5F70D88A">
      <w:pPr>
        <w:keepNext w:val="0"/>
        <w:keepLines w:val="0"/>
        <w:pageBreakBefore w:val="0"/>
        <w:widowControl/>
        <w:shd w:val="clear"/>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1.评标委员会将按照评标方法，对资格性及符合性检查合格的投标文件进行比较与评价。</w:t>
      </w:r>
    </w:p>
    <w:p w14:paraId="0EFC7E16">
      <w:pPr>
        <w:keepNext w:val="0"/>
        <w:keepLines w:val="0"/>
        <w:pageBreakBefore w:val="0"/>
        <w:widowControl/>
        <w:shd w:val="clear"/>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2.综合评分法是指在满足招标文件实质性要求前提下，按照招标文件中规定的各项因素进行综合评审后，以评标总分得分最高的投标人作为中标候选人或者中标人的评标方法。</w:t>
      </w:r>
    </w:p>
    <w:p w14:paraId="4FED67A5">
      <w:pPr>
        <w:keepNext w:val="0"/>
        <w:keepLines w:val="0"/>
        <w:pageBreakBefore w:val="0"/>
        <w:widowControl/>
        <w:shd w:val="clear"/>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3.评标委员会对经过初步评审为合格有效的各投标人的投标文件进行评审后，由各评委独立打分，打分时保留2位小数，每人一份评分表，并签名。</w:t>
      </w:r>
    </w:p>
    <w:p w14:paraId="0C0430B1">
      <w:pPr>
        <w:keepNext w:val="0"/>
        <w:keepLines w:val="0"/>
        <w:pageBreakBefore w:val="0"/>
        <w:widowControl/>
        <w:shd w:val="clear"/>
        <w:tabs>
          <w:tab w:val="left" w:pos="360"/>
        </w:tabs>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4．分别计算出各评标委员会成员对某一特定投标人非价格因素评分的汇总得分，然后计算出评标委员会成员对该投标人非价格因素汇总得分平均分值。价格因素得分与非价格因素得分平均分值之和即为该投标人的评标总得分，总得分由高到低排出顺序，总得分最高的投标人推荐为中标候选人。如果投标人综合得分相同，按下列顺序排列以确定将被推荐为合格的中标候选人：</w:t>
      </w:r>
    </w:p>
    <w:p w14:paraId="08843702">
      <w:pPr>
        <w:keepNext w:val="0"/>
        <w:keepLines w:val="0"/>
        <w:pageBreakBefore w:val="0"/>
        <w:widowControl/>
        <w:shd w:val="clear"/>
        <w:tabs>
          <w:tab w:val="left" w:pos="360"/>
        </w:tabs>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（1）投标价低的；</w:t>
      </w:r>
    </w:p>
    <w:p w14:paraId="7E18E7A9">
      <w:pPr>
        <w:keepNext w:val="0"/>
        <w:keepLines w:val="0"/>
        <w:pageBreakBefore w:val="0"/>
        <w:widowControl/>
        <w:shd w:val="clear"/>
        <w:tabs>
          <w:tab w:val="left" w:pos="360"/>
        </w:tabs>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（2）技术评分得分高的；</w:t>
      </w:r>
    </w:p>
    <w:p w14:paraId="7CB5F02E">
      <w:pPr>
        <w:keepNext w:val="0"/>
        <w:keepLines w:val="0"/>
        <w:pageBreakBefore w:val="0"/>
        <w:widowControl/>
        <w:shd w:val="clear"/>
        <w:tabs>
          <w:tab w:val="left" w:pos="360"/>
        </w:tabs>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（3）商务评分得分高的。</w:t>
      </w:r>
    </w:p>
    <w:p w14:paraId="3D62237F">
      <w:pPr>
        <w:shd w:val="clear"/>
        <w:adjustRightInd/>
        <w:snapToGrid/>
        <w:spacing w:after="0"/>
        <w:rPr>
          <w:color w:val="auto"/>
          <w:sz w:val="32"/>
          <w:highlight w:val="none"/>
        </w:rPr>
      </w:pPr>
      <w:r>
        <w:rPr>
          <w:color w:val="auto"/>
          <w:sz w:val="32"/>
          <w:highlight w:val="none"/>
        </w:rPr>
        <w:br w:type="page"/>
      </w:r>
    </w:p>
    <w:p w14:paraId="0A89E7F9">
      <w:pPr>
        <w:shd w:val="clear"/>
        <w:spacing w:after="0" w:line="360" w:lineRule="auto"/>
        <w:ind w:right="-2"/>
        <w:jc w:val="center"/>
        <w:rPr>
          <w:color w:val="auto"/>
          <w:sz w:val="32"/>
          <w:highlight w:val="none"/>
        </w:rPr>
      </w:pPr>
      <w:r>
        <w:rPr>
          <w:rFonts w:hint="eastAsia"/>
          <w:color w:val="auto"/>
          <w:sz w:val="32"/>
          <w:highlight w:val="none"/>
        </w:rPr>
        <w:t>综合评分法评分细则</w:t>
      </w:r>
    </w:p>
    <w:p w14:paraId="408472CD">
      <w:pPr>
        <w:pStyle w:val="37"/>
        <w:numPr>
          <w:ilvl w:val="0"/>
          <w:numId w:val="5"/>
        </w:numPr>
        <w:shd w:val="clear"/>
        <w:ind w:firstLineChars="0"/>
        <w:rPr>
          <w:color w:val="auto"/>
          <w:sz w:val="24"/>
          <w:highlight w:val="none"/>
        </w:rPr>
      </w:pPr>
      <w:r>
        <w:rPr>
          <w:rFonts w:hint="eastAsia"/>
          <w:color w:val="auto"/>
          <w:sz w:val="24"/>
          <w:highlight w:val="none"/>
        </w:rPr>
        <w:t>基本评分标准</w:t>
      </w:r>
    </w:p>
    <w:p w14:paraId="695723B2">
      <w:pPr>
        <w:pStyle w:val="37"/>
        <w:shd w:val="clear"/>
        <w:ind w:left="720" w:firstLine="0" w:firstLineChars="0"/>
        <w:rPr>
          <w:color w:val="auto"/>
          <w:sz w:val="24"/>
          <w:highlight w:val="none"/>
        </w:rPr>
      </w:pPr>
    </w:p>
    <w:tbl>
      <w:tblPr>
        <w:tblStyle w:val="17"/>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1282"/>
        <w:gridCol w:w="819"/>
        <w:gridCol w:w="5370"/>
      </w:tblGrid>
      <w:tr w14:paraId="7D80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313" w:type="dxa"/>
            <w:tcBorders>
              <w:top w:val="single" w:color="auto" w:sz="4" w:space="0"/>
              <w:left w:val="single" w:color="auto" w:sz="4" w:space="0"/>
              <w:bottom w:val="single" w:color="auto" w:sz="4" w:space="0"/>
              <w:right w:val="single" w:color="auto" w:sz="4" w:space="0"/>
            </w:tcBorders>
            <w:noWrap w:val="0"/>
            <w:vAlign w:val="center"/>
          </w:tcPr>
          <w:p w14:paraId="20F3CBD0">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分项</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68B3931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评分</w:t>
            </w:r>
          </w:p>
          <w:p w14:paraId="274EE46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因素</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3A54445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满分</w:t>
            </w:r>
          </w:p>
          <w:p w14:paraId="19A5AC15">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分值</w:t>
            </w:r>
          </w:p>
        </w:tc>
        <w:tc>
          <w:tcPr>
            <w:tcW w:w="5370" w:type="dxa"/>
            <w:tcBorders>
              <w:top w:val="single" w:color="auto" w:sz="4" w:space="0"/>
              <w:left w:val="single" w:color="auto" w:sz="4" w:space="0"/>
              <w:bottom w:val="single" w:color="auto" w:sz="4" w:space="0"/>
              <w:right w:val="single" w:color="auto" w:sz="4" w:space="0"/>
            </w:tcBorders>
            <w:noWrap w:val="0"/>
            <w:vAlign w:val="center"/>
          </w:tcPr>
          <w:p w14:paraId="78DE4EA1">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评分标准</w:t>
            </w:r>
          </w:p>
        </w:tc>
      </w:tr>
      <w:tr w14:paraId="3F19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313" w:type="dxa"/>
            <w:tcBorders>
              <w:top w:val="single" w:color="auto" w:sz="4" w:space="0"/>
              <w:left w:val="single" w:color="auto" w:sz="4" w:space="0"/>
              <w:bottom w:val="single" w:color="auto" w:sz="4" w:space="0"/>
              <w:right w:val="single" w:color="auto" w:sz="4" w:space="0"/>
            </w:tcBorders>
            <w:noWrap w:val="0"/>
            <w:vAlign w:val="center"/>
          </w:tcPr>
          <w:p w14:paraId="0C83117E">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价格部分（10分）</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71CB959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投标报价</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4F2F19CF">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center"/>
          </w:tcPr>
          <w:p w14:paraId="34AF53CF">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rPr>
              <w:t>投标人报价得分＝（评标基准价/投标报价）×10。</w:t>
            </w:r>
          </w:p>
          <w:p w14:paraId="09F9DF17">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rPr>
              <w:t>注解：</w:t>
            </w:r>
          </w:p>
          <w:p w14:paraId="1A945577">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rPr>
              <w:t>1、评标基准价为满足招标文件要求且投标价格最低的投标报价；</w:t>
            </w:r>
          </w:p>
          <w:p w14:paraId="4B4C74F3">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rPr>
              <w:t>2、投标人报价为投标函中投标总价；</w:t>
            </w:r>
          </w:p>
        </w:tc>
      </w:tr>
      <w:tr w14:paraId="77FB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jc w:val="center"/>
        </w:trPr>
        <w:tc>
          <w:tcPr>
            <w:tcW w:w="1313" w:type="dxa"/>
            <w:vMerge w:val="restart"/>
            <w:tcBorders>
              <w:top w:val="single" w:color="auto" w:sz="4" w:space="0"/>
              <w:left w:val="single" w:color="auto" w:sz="4" w:space="0"/>
              <w:bottom w:val="single" w:color="auto" w:sz="4" w:space="0"/>
              <w:right w:val="single" w:color="auto" w:sz="4" w:space="0"/>
            </w:tcBorders>
            <w:noWrap w:val="0"/>
            <w:vAlign w:val="center"/>
          </w:tcPr>
          <w:p w14:paraId="32157DB5">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技术部分</w:t>
            </w:r>
          </w:p>
          <w:p w14:paraId="6A744FFA">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（70分）</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5B49DD26">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实施方案</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13B71B0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20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69C31DAB">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w:t>
            </w:r>
            <w:r>
              <w:rPr>
                <w:rFonts w:hint="eastAsia" w:ascii="宋体" w:hAnsi="宋体"/>
                <w:color w:val="auto"/>
                <w:sz w:val="24"/>
                <w:highlight w:val="none"/>
              </w:rPr>
              <w:t>结合项目特征，对本项目项目实施方案针对性强、内容合理、可行</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20-14</w:t>
            </w:r>
            <w:r>
              <w:rPr>
                <w:rFonts w:hint="eastAsia" w:ascii="宋体" w:hAnsi="宋体"/>
                <w:color w:val="auto"/>
                <w:sz w:val="24"/>
                <w:highlight w:val="none"/>
              </w:rPr>
              <w:t>分。</w:t>
            </w:r>
          </w:p>
          <w:p w14:paraId="30D01CC9">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w:t>
            </w:r>
            <w:r>
              <w:rPr>
                <w:rFonts w:hint="eastAsia" w:ascii="宋体" w:hAnsi="宋体"/>
                <w:color w:val="auto"/>
                <w:sz w:val="24"/>
                <w:highlight w:val="none"/>
              </w:rPr>
              <w:t>结合项目特征，对本项目项目实施方案有针对性、内容合理、可行，细节待完善</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13-7</w:t>
            </w:r>
            <w:r>
              <w:rPr>
                <w:rFonts w:hint="eastAsia" w:ascii="宋体" w:hAnsi="宋体"/>
                <w:color w:val="auto"/>
                <w:sz w:val="24"/>
                <w:highlight w:val="none"/>
              </w:rPr>
              <w:t>分。</w:t>
            </w:r>
          </w:p>
          <w:p w14:paraId="18A057B9">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3.投标人</w:t>
            </w:r>
            <w:r>
              <w:rPr>
                <w:rFonts w:hint="eastAsia" w:ascii="宋体" w:hAnsi="宋体"/>
                <w:color w:val="auto"/>
                <w:sz w:val="24"/>
                <w:highlight w:val="none"/>
              </w:rPr>
              <w:t>结合项目特征，对本项目项目实施方案没有针对内容不全面得</w:t>
            </w:r>
            <w:r>
              <w:rPr>
                <w:rFonts w:hint="eastAsia" w:ascii="宋体" w:hAnsi="宋体"/>
                <w:color w:val="auto"/>
                <w:sz w:val="24"/>
                <w:highlight w:val="none"/>
                <w:lang w:val="en-US" w:eastAsia="zh-CN"/>
              </w:rPr>
              <w:t>6-1</w:t>
            </w:r>
            <w:r>
              <w:rPr>
                <w:rFonts w:hint="eastAsia" w:ascii="宋体" w:hAnsi="宋体"/>
                <w:color w:val="auto"/>
                <w:sz w:val="24"/>
                <w:highlight w:val="none"/>
              </w:rPr>
              <w:t>分。</w:t>
            </w:r>
          </w:p>
          <w:p w14:paraId="51407A3E">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413B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313" w:type="dxa"/>
            <w:vMerge w:val="continue"/>
            <w:tcBorders>
              <w:top w:val="single" w:color="auto" w:sz="4" w:space="0"/>
              <w:left w:val="single" w:color="auto" w:sz="4" w:space="0"/>
              <w:bottom w:val="single" w:color="auto" w:sz="4" w:space="0"/>
              <w:right w:val="single" w:color="auto" w:sz="4" w:space="0"/>
            </w:tcBorders>
            <w:noWrap w:val="0"/>
            <w:vAlign w:val="center"/>
          </w:tcPr>
          <w:p w14:paraId="46CD5AA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single" w:color="auto" w:sz="4" w:space="0"/>
              <w:bottom w:val="single" w:color="auto" w:sz="4" w:space="0"/>
              <w:right w:val="single" w:color="auto" w:sz="4" w:space="0"/>
            </w:tcBorders>
            <w:noWrap w:val="0"/>
            <w:vAlign w:val="center"/>
          </w:tcPr>
          <w:p w14:paraId="68ED8F0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工作重点、难点、关键技术及解决方案</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244B1270">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46BAB9AA">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1.投标人针对本项目提供的</w:t>
            </w:r>
            <w:r>
              <w:rPr>
                <w:rFonts w:hint="eastAsia" w:ascii="宋体" w:hAnsi="宋体"/>
                <w:color w:val="auto"/>
                <w:sz w:val="24"/>
                <w:highlight w:val="none"/>
              </w:rPr>
              <w:t>工作重点和难点分析及对策措施针对性强、内容合理、可行</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10-7</w:t>
            </w:r>
            <w:r>
              <w:rPr>
                <w:rFonts w:hint="eastAsia" w:ascii="宋体" w:hAnsi="宋体"/>
                <w:color w:val="auto"/>
                <w:sz w:val="24"/>
                <w:highlight w:val="none"/>
              </w:rPr>
              <w:t>分。</w:t>
            </w:r>
          </w:p>
          <w:p w14:paraId="31BFA47B">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2.投标人针对本项目提供的</w:t>
            </w:r>
            <w:r>
              <w:rPr>
                <w:rFonts w:hint="eastAsia" w:ascii="宋体" w:hAnsi="宋体"/>
                <w:color w:val="auto"/>
                <w:sz w:val="24"/>
                <w:highlight w:val="none"/>
              </w:rPr>
              <w:t>工作重点和难点分析及对策措施有针对性、内容合理、可行，细节待完善</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6-4</w:t>
            </w:r>
            <w:r>
              <w:rPr>
                <w:rFonts w:hint="eastAsia" w:ascii="宋体" w:hAnsi="宋体"/>
                <w:color w:val="auto"/>
                <w:sz w:val="24"/>
                <w:highlight w:val="none"/>
              </w:rPr>
              <w:t>分。</w:t>
            </w:r>
          </w:p>
          <w:p w14:paraId="61E0091A">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3.投标人针对本项目提供的</w:t>
            </w:r>
            <w:r>
              <w:rPr>
                <w:rFonts w:hint="eastAsia" w:ascii="宋体" w:hAnsi="宋体"/>
                <w:color w:val="auto"/>
                <w:sz w:val="24"/>
                <w:highlight w:val="none"/>
              </w:rPr>
              <w:t>工作重点和难点分析及对策措施没有针对内容不全面</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3-1</w:t>
            </w:r>
            <w:r>
              <w:rPr>
                <w:rFonts w:hint="eastAsia" w:ascii="宋体" w:hAnsi="宋体"/>
                <w:color w:val="auto"/>
                <w:sz w:val="24"/>
                <w:highlight w:val="none"/>
              </w:rPr>
              <w:t>分。</w:t>
            </w:r>
          </w:p>
          <w:p w14:paraId="39CAEE67">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7EFD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jc w:val="center"/>
        </w:trPr>
        <w:tc>
          <w:tcPr>
            <w:tcW w:w="1313" w:type="dxa"/>
            <w:vMerge w:val="continue"/>
            <w:tcBorders>
              <w:top w:val="single" w:color="auto" w:sz="4" w:space="0"/>
              <w:left w:val="single" w:color="auto" w:sz="4" w:space="0"/>
              <w:bottom w:val="single" w:color="auto" w:sz="4" w:space="0"/>
              <w:right w:val="single" w:color="auto" w:sz="4" w:space="0"/>
            </w:tcBorders>
            <w:noWrap w:val="0"/>
            <w:vAlign w:val="center"/>
          </w:tcPr>
          <w:p w14:paraId="0D721DF7">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781654D">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服务进度目标及保证措施</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4246283A">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7427E6AF">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1.投标人针对本项目提供的</w:t>
            </w:r>
            <w:r>
              <w:rPr>
                <w:rFonts w:hint="eastAsia" w:ascii="宋体" w:hAnsi="宋体"/>
                <w:color w:val="auto"/>
                <w:sz w:val="24"/>
                <w:highlight w:val="none"/>
              </w:rPr>
              <w:t>服务进度目标及保证措施内容全面、合理，保证措施针对性强</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10-7</w:t>
            </w:r>
            <w:r>
              <w:rPr>
                <w:rFonts w:hint="eastAsia" w:ascii="宋体" w:hAnsi="宋体"/>
                <w:color w:val="auto"/>
                <w:sz w:val="24"/>
                <w:highlight w:val="none"/>
              </w:rPr>
              <w:t>分。</w:t>
            </w:r>
          </w:p>
          <w:p w14:paraId="0A846FE0">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2.投标人针对本项目提供的</w:t>
            </w:r>
            <w:r>
              <w:rPr>
                <w:rFonts w:hint="eastAsia" w:ascii="宋体" w:hAnsi="宋体"/>
                <w:color w:val="auto"/>
                <w:sz w:val="24"/>
                <w:highlight w:val="none"/>
              </w:rPr>
              <w:t>服务进度目标及保证措施内容合理，细节待完善，保证措施有针对性得</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6-4</w:t>
            </w:r>
            <w:r>
              <w:rPr>
                <w:rFonts w:hint="eastAsia" w:ascii="宋体" w:hAnsi="宋体"/>
                <w:color w:val="auto"/>
                <w:sz w:val="24"/>
                <w:highlight w:val="none"/>
              </w:rPr>
              <w:t>分。</w:t>
            </w:r>
          </w:p>
          <w:p w14:paraId="614CB1E7">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3.标人针对本项目提供的</w:t>
            </w:r>
            <w:r>
              <w:rPr>
                <w:rFonts w:hint="eastAsia" w:ascii="宋体" w:hAnsi="宋体"/>
                <w:color w:val="auto"/>
                <w:sz w:val="24"/>
                <w:highlight w:val="none"/>
              </w:rPr>
              <w:t>服务进度目标及保证措施内容合理，但不全面，保证措施没有针对性</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3-1</w:t>
            </w:r>
            <w:r>
              <w:rPr>
                <w:rFonts w:hint="eastAsia" w:ascii="宋体" w:hAnsi="宋体"/>
                <w:color w:val="auto"/>
                <w:sz w:val="24"/>
                <w:highlight w:val="none"/>
              </w:rPr>
              <w:t>分。</w:t>
            </w:r>
          </w:p>
          <w:p w14:paraId="2A360BF0">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5087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313" w:type="dxa"/>
            <w:vMerge w:val="continue"/>
            <w:tcBorders>
              <w:top w:val="single" w:color="auto" w:sz="4" w:space="0"/>
              <w:left w:val="single" w:color="auto" w:sz="4" w:space="0"/>
              <w:bottom w:val="single" w:color="auto" w:sz="4" w:space="0"/>
              <w:right w:val="single" w:color="auto" w:sz="4" w:space="0"/>
            </w:tcBorders>
            <w:noWrap w:val="0"/>
            <w:vAlign w:val="center"/>
          </w:tcPr>
          <w:p w14:paraId="01CEFAC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98E0223">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服务质量目标及保证措施</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134A09E3">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2DFE84A0">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1.投标人针对本项目提供的</w:t>
            </w:r>
            <w:r>
              <w:rPr>
                <w:rFonts w:hint="eastAsia" w:ascii="宋体" w:hAnsi="宋体"/>
                <w:color w:val="auto"/>
                <w:sz w:val="24"/>
                <w:highlight w:val="none"/>
              </w:rPr>
              <w:t>服务质量目标及保证措施内容全面、合理，保证措施针对性强</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10-7</w:t>
            </w:r>
            <w:r>
              <w:rPr>
                <w:rFonts w:hint="eastAsia" w:ascii="宋体" w:hAnsi="宋体"/>
                <w:color w:val="auto"/>
                <w:sz w:val="24"/>
                <w:highlight w:val="none"/>
              </w:rPr>
              <w:t>分。</w:t>
            </w:r>
          </w:p>
          <w:p w14:paraId="02D6B3A4">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2.投标人针对本项目提供的</w:t>
            </w:r>
            <w:r>
              <w:rPr>
                <w:rFonts w:hint="eastAsia" w:ascii="宋体" w:hAnsi="宋体"/>
                <w:color w:val="auto"/>
                <w:sz w:val="24"/>
                <w:highlight w:val="none"/>
              </w:rPr>
              <w:t>服务质量目标及保证措施内容合理，细节待完善，保证措施有针对性得</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6-4</w:t>
            </w:r>
            <w:r>
              <w:rPr>
                <w:rFonts w:hint="eastAsia" w:ascii="宋体" w:hAnsi="宋体"/>
                <w:color w:val="auto"/>
                <w:sz w:val="24"/>
                <w:highlight w:val="none"/>
              </w:rPr>
              <w:t>分。</w:t>
            </w:r>
          </w:p>
          <w:p w14:paraId="21C9912D">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3.标人针对本项目提供的</w:t>
            </w:r>
            <w:r>
              <w:rPr>
                <w:rFonts w:hint="eastAsia" w:ascii="宋体" w:hAnsi="宋体"/>
                <w:color w:val="auto"/>
                <w:sz w:val="24"/>
                <w:highlight w:val="none"/>
              </w:rPr>
              <w:t>服务质量目标及保证措施内容合理，但不全面，保证措施没有针对性</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3-1</w:t>
            </w:r>
            <w:r>
              <w:rPr>
                <w:rFonts w:hint="eastAsia" w:ascii="宋体" w:hAnsi="宋体"/>
                <w:color w:val="auto"/>
                <w:sz w:val="24"/>
                <w:highlight w:val="none"/>
              </w:rPr>
              <w:t>分。</w:t>
            </w:r>
          </w:p>
          <w:p w14:paraId="53DF3851">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1933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313" w:type="dxa"/>
            <w:vMerge w:val="continue"/>
            <w:tcBorders>
              <w:top w:val="single" w:color="auto" w:sz="4" w:space="0"/>
              <w:left w:val="single" w:color="auto" w:sz="4" w:space="0"/>
              <w:bottom w:val="single" w:color="auto" w:sz="4" w:space="0"/>
              <w:right w:val="single" w:color="auto" w:sz="4" w:space="0"/>
            </w:tcBorders>
            <w:noWrap w:val="0"/>
            <w:vAlign w:val="center"/>
          </w:tcPr>
          <w:p w14:paraId="3D16C5F7">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single" w:color="auto" w:sz="4" w:space="0"/>
              <w:bottom w:val="single" w:color="auto" w:sz="4" w:space="0"/>
              <w:right w:val="single" w:color="auto" w:sz="4" w:space="0"/>
            </w:tcBorders>
            <w:noWrap w:val="0"/>
            <w:vAlign w:val="center"/>
          </w:tcPr>
          <w:p w14:paraId="1466505F">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s="宋体"/>
                <w:color w:val="auto"/>
                <w:sz w:val="24"/>
                <w:highlight w:val="none"/>
              </w:rPr>
              <w:t>服务承诺</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6931174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119B44DF">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1.投标人针对本项目提供的</w:t>
            </w:r>
            <w:r>
              <w:rPr>
                <w:rFonts w:hint="eastAsia" w:ascii="宋体" w:hAnsi="宋体"/>
                <w:color w:val="auto"/>
                <w:sz w:val="24"/>
                <w:highlight w:val="none"/>
              </w:rPr>
              <w:t>服务承诺内容全面、合理，针对性强</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10-7</w:t>
            </w:r>
            <w:r>
              <w:rPr>
                <w:rFonts w:hint="eastAsia" w:ascii="宋体" w:hAnsi="宋体"/>
                <w:color w:val="auto"/>
                <w:sz w:val="24"/>
                <w:highlight w:val="none"/>
              </w:rPr>
              <w:t>分。</w:t>
            </w:r>
          </w:p>
          <w:p w14:paraId="5B669A44">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2.投标人针对本项目提供的</w:t>
            </w:r>
            <w:r>
              <w:rPr>
                <w:rFonts w:hint="eastAsia" w:ascii="宋体" w:hAnsi="宋体"/>
                <w:color w:val="auto"/>
                <w:sz w:val="24"/>
                <w:highlight w:val="none"/>
              </w:rPr>
              <w:t>服务承诺内容合理，细节待完善，有针对性得</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6-4</w:t>
            </w:r>
            <w:r>
              <w:rPr>
                <w:rFonts w:hint="eastAsia" w:ascii="宋体" w:hAnsi="宋体"/>
                <w:color w:val="auto"/>
                <w:sz w:val="24"/>
                <w:highlight w:val="none"/>
              </w:rPr>
              <w:t>分。</w:t>
            </w:r>
          </w:p>
          <w:p w14:paraId="0BD0914F">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3.投标人针对本项目提供的</w:t>
            </w:r>
            <w:r>
              <w:rPr>
                <w:rFonts w:hint="eastAsia" w:ascii="宋体" w:hAnsi="宋体"/>
                <w:color w:val="auto"/>
                <w:sz w:val="24"/>
                <w:highlight w:val="none"/>
              </w:rPr>
              <w:t>服务质量内容合理，但不全面，没有针对性</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3-1</w:t>
            </w:r>
            <w:r>
              <w:rPr>
                <w:rFonts w:hint="eastAsia" w:ascii="宋体" w:hAnsi="宋体"/>
                <w:color w:val="auto"/>
                <w:sz w:val="24"/>
                <w:highlight w:val="none"/>
              </w:rPr>
              <w:t>分。</w:t>
            </w:r>
          </w:p>
          <w:p w14:paraId="12372791">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012CE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313" w:type="dxa"/>
            <w:vMerge w:val="continue"/>
            <w:tcBorders>
              <w:top w:val="single" w:color="auto" w:sz="4" w:space="0"/>
              <w:left w:val="single" w:color="auto" w:sz="4" w:space="0"/>
              <w:bottom w:val="single" w:color="auto" w:sz="4" w:space="0"/>
              <w:right w:val="single" w:color="auto" w:sz="4" w:space="0"/>
            </w:tcBorders>
            <w:noWrap w:val="0"/>
            <w:vAlign w:val="center"/>
          </w:tcPr>
          <w:p w14:paraId="1E9A741C">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single" w:color="auto" w:sz="4" w:space="0"/>
              <w:bottom w:val="single" w:color="auto" w:sz="4" w:space="0"/>
              <w:right w:val="single" w:color="auto" w:sz="4" w:space="0"/>
            </w:tcBorders>
            <w:noWrap w:val="0"/>
            <w:vAlign w:val="center"/>
          </w:tcPr>
          <w:p w14:paraId="77138B3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应急处理解决方案</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2A9BCAB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7DB27080">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1.投标人针对本项目</w:t>
            </w:r>
            <w:r>
              <w:rPr>
                <w:rFonts w:hint="eastAsia" w:ascii="宋体" w:hAnsi="宋体"/>
                <w:color w:val="auto"/>
                <w:sz w:val="24"/>
                <w:highlight w:val="none"/>
              </w:rPr>
              <w:t>提供的应急处理解决方案内容在合理、规范、满足招标文件要求，并且对本项目有非常深入的理解、方案内容清晰准确</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10-7</w:t>
            </w:r>
            <w:r>
              <w:rPr>
                <w:rFonts w:hint="eastAsia" w:ascii="宋体" w:hAnsi="宋体"/>
                <w:color w:val="auto"/>
                <w:sz w:val="24"/>
                <w:highlight w:val="none"/>
              </w:rPr>
              <w:t>分。</w:t>
            </w:r>
          </w:p>
          <w:p w14:paraId="0A9D7DEB">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2.投标人针对本项目提供的</w:t>
            </w:r>
            <w:r>
              <w:rPr>
                <w:rFonts w:hint="eastAsia" w:ascii="宋体" w:hAnsi="宋体"/>
                <w:color w:val="auto"/>
                <w:sz w:val="24"/>
                <w:highlight w:val="none"/>
              </w:rPr>
              <w:t>应急处理解决方案内容合理、规范、满足招标文件要求，对本项目有一定的理解、方案内容清晰准确得</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6-4</w:t>
            </w:r>
            <w:r>
              <w:rPr>
                <w:rFonts w:hint="eastAsia" w:ascii="宋体" w:hAnsi="宋体"/>
                <w:color w:val="auto"/>
                <w:sz w:val="24"/>
                <w:highlight w:val="none"/>
              </w:rPr>
              <w:t>分。</w:t>
            </w:r>
          </w:p>
          <w:p w14:paraId="0D5F1BFA">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3.投标人针对本项目提供的</w:t>
            </w:r>
            <w:r>
              <w:rPr>
                <w:rFonts w:hint="eastAsia" w:ascii="宋体" w:hAnsi="宋体"/>
                <w:color w:val="auto"/>
                <w:sz w:val="24"/>
                <w:highlight w:val="none"/>
              </w:rPr>
              <w:t>应急处理解决方案内容比较片面、方案内容不太清晰</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3-1</w:t>
            </w:r>
            <w:r>
              <w:rPr>
                <w:rFonts w:hint="eastAsia" w:ascii="宋体" w:hAnsi="宋体"/>
                <w:color w:val="auto"/>
                <w:sz w:val="24"/>
                <w:highlight w:val="none"/>
              </w:rPr>
              <w:t>分。</w:t>
            </w:r>
          </w:p>
          <w:p w14:paraId="06B384DE">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50AC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313" w:type="dxa"/>
            <w:vMerge w:val="restart"/>
            <w:tcBorders>
              <w:top w:val="single" w:color="auto" w:sz="4" w:space="0"/>
              <w:left w:val="single" w:color="auto" w:sz="4" w:space="0"/>
              <w:bottom w:val="single" w:color="auto" w:sz="4" w:space="0"/>
              <w:right w:val="single" w:color="auto" w:sz="4" w:space="0"/>
            </w:tcBorders>
            <w:noWrap w:val="0"/>
            <w:vAlign w:val="center"/>
          </w:tcPr>
          <w:p w14:paraId="6C0B84DC">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商务部分</w:t>
            </w:r>
          </w:p>
          <w:p w14:paraId="0641406E">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（20分）</w:t>
            </w:r>
          </w:p>
        </w:tc>
        <w:tc>
          <w:tcPr>
            <w:tcW w:w="1282" w:type="dxa"/>
            <w:tcBorders>
              <w:top w:val="single" w:color="auto" w:sz="4" w:space="0"/>
              <w:left w:val="nil"/>
              <w:bottom w:val="single" w:color="auto" w:sz="4" w:space="0"/>
              <w:right w:val="single" w:color="auto" w:sz="4" w:space="0"/>
            </w:tcBorders>
            <w:noWrap w:val="0"/>
            <w:vAlign w:val="center"/>
          </w:tcPr>
          <w:p w14:paraId="3B69D5A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项目组织机构（拟投入设备及人员）</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3860FEB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8</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0E65C090">
            <w:pPr>
              <w:keepNext w:val="0"/>
              <w:keepLines w:val="0"/>
              <w:pageBreakBefore w:val="0"/>
              <w:widowControl/>
              <w:numPr>
                <w:ilvl w:val="0"/>
                <w:numId w:val="6"/>
              </w:numPr>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s="宋体"/>
                <w:color w:val="auto"/>
                <w:sz w:val="24"/>
                <w:highlight w:val="none"/>
              </w:rPr>
            </w:pPr>
            <w:r>
              <w:rPr>
                <w:rFonts w:hint="eastAsia" w:ascii="宋体" w:hAnsi="宋体" w:cs="宋体"/>
                <w:color w:val="auto"/>
                <w:sz w:val="24"/>
                <w:highlight w:val="none"/>
              </w:rPr>
              <w:t>技术负责人具有高级及以上技术职称得2分</w:t>
            </w:r>
            <w:r>
              <w:rPr>
                <w:rFonts w:hint="eastAsia" w:ascii="宋体" w:hAnsi="宋体" w:cs="宋体"/>
                <w:color w:val="auto"/>
                <w:sz w:val="24"/>
                <w:highlight w:val="none"/>
                <w:lang w:val="en-US" w:eastAsia="zh-CN"/>
              </w:rPr>
              <w:t>。</w:t>
            </w:r>
          </w:p>
          <w:p w14:paraId="007948D3">
            <w:pPr>
              <w:keepNext w:val="0"/>
              <w:keepLines w:val="0"/>
              <w:pageBreakBefore w:val="0"/>
              <w:widowControl/>
              <w:numPr>
                <w:ilvl w:val="0"/>
                <w:numId w:val="6"/>
              </w:numPr>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ascii="宋体" w:hAnsi="宋体" w:cs="宋体"/>
                <w:color w:val="auto"/>
                <w:sz w:val="24"/>
                <w:szCs w:val="24"/>
                <w:highlight w:val="none"/>
              </w:rPr>
              <w:t>项目管理</w:t>
            </w:r>
            <w:r>
              <w:rPr>
                <w:rFonts w:hint="eastAsia" w:ascii="宋体" w:hAnsi="宋体" w:cs="宋体"/>
                <w:color w:val="auto"/>
                <w:sz w:val="24"/>
                <w:szCs w:val="24"/>
                <w:highlight w:val="none"/>
              </w:rPr>
              <w:t>其他</w:t>
            </w:r>
            <w:r>
              <w:rPr>
                <w:rFonts w:ascii="宋体" w:hAnsi="宋体" w:cs="宋体"/>
                <w:color w:val="auto"/>
                <w:sz w:val="24"/>
                <w:szCs w:val="24"/>
                <w:highlight w:val="none"/>
              </w:rPr>
              <w:t>班组人员齐备、专业配套、职责分工明确且满足招标文件要求，得</w:t>
            </w:r>
            <w:r>
              <w:rPr>
                <w:rFonts w:hint="eastAsia" w:ascii="宋体" w:hAnsi="宋体" w:cs="宋体"/>
                <w:color w:val="auto"/>
                <w:sz w:val="24"/>
                <w:highlight w:val="none"/>
              </w:rPr>
              <w:t>6</w:t>
            </w:r>
            <w:r>
              <w:rPr>
                <w:rFonts w:ascii="宋体" w:hAnsi="宋体" w:cs="宋体"/>
                <w:color w:val="auto"/>
                <w:sz w:val="24"/>
                <w:szCs w:val="24"/>
                <w:highlight w:val="none"/>
              </w:rPr>
              <w:t>分，每缺一人扣1.0分，每有一项不合格扣0.</w:t>
            </w:r>
            <w:r>
              <w:rPr>
                <w:rFonts w:hint="eastAsia" w:ascii="宋体" w:hAnsi="宋体" w:cs="宋体"/>
                <w:color w:val="auto"/>
                <w:sz w:val="24"/>
                <w:szCs w:val="24"/>
                <w:highlight w:val="none"/>
              </w:rPr>
              <w:t>5</w:t>
            </w:r>
            <w:r>
              <w:rPr>
                <w:rFonts w:ascii="宋体" w:hAnsi="宋体" w:cs="宋体"/>
                <w:color w:val="auto"/>
                <w:sz w:val="24"/>
                <w:szCs w:val="24"/>
                <w:highlight w:val="none"/>
              </w:rPr>
              <w:t>分，最低得0分。</w:t>
            </w:r>
            <w:r>
              <w:rPr>
                <w:rFonts w:hint="eastAsia" w:ascii="宋体" w:hAnsi="宋体" w:cs="宋体"/>
                <w:color w:val="auto"/>
                <w:sz w:val="24"/>
                <w:highlight w:val="none"/>
              </w:rPr>
              <w:t>满分8分。</w:t>
            </w:r>
          </w:p>
        </w:tc>
      </w:tr>
      <w:tr w14:paraId="0702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313" w:type="dxa"/>
            <w:vMerge w:val="continue"/>
            <w:tcBorders>
              <w:left w:val="single" w:color="auto" w:sz="4" w:space="0"/>
              <w:right w:val="single" w:color="auto" w:sz="4" w:space="0"/>
            </w:tcBorders>
            <w:noWrap w:val="0"/>
            <w:vAlign w:val="center"/>
          </w:tcPr>
          <w:p w14:paraId="648F390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p>
        </w:tc>
        <w:tc>
          <w:tcPr>
            <w:tcW w:w="1282" w:type="dxa"/>
            <w:tcBorders>
              <w:top w:val="single" w:color="auto" w:sz="4" w:space="0"/>
              <w:left w:val="nil"/>
              <w:bottom w:val="single" w:color="auto" w:sz="4" w:space="0"/>
              <w:right w:val="single" w:color="auto" w:sz="4" w:space="0"/>
            </w:tcBorders>
            <w:noWrap w:val="0"/>
            <w:vAlign w:val="center"/>
          </w:tcPr>
          <w:p w14:paraId="134EFDF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项目负责人</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5BA5B30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4</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233935F1">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s="宋体"/>
                <w:color w:val="auto"/>
                <w:sz w:val="24"/>
                <w:highlight w:val="none"/>
              </w:rPr>
              <w:t>项目负责人具有高级职称的得2分，近三年</w:t>
            </w:r>
            <w:r>
              <w:rPr>
                <w:rFonts w:hint="eastAsia" w:ascii="宋体" w:hAnsi="宋体" w:cs="宋体"/>
                <w:color w:val="auto"/>
                <w:sz w:val="24"/>
                <w:szCs w:val="24"/>
                <w:highlight w:val="none"/>
              </w:rPr>
              <w:t>（2022年5月1日至今）</w:t>
            </w:r>
            <w:r>
              <w:rPr>
                <w:rFonts w:hint="eastAsia" w:ascii="宋体" w:hAnsi="宋体" w:cs="宋体"/>
                <w:color w:val="auto"/>
                <w:sz w:val="24"/>
                <w:highlight w:val="none"/>
              </w:rPr>
              <w:t>具有类似业绩得2分，满分4分。</w:t>
            </w:r>
            <w:r>
              <w:rPr>
                <w:rFonts w:hint="eastAsia" w:ascii="宋体" w:hAnsi="宋体" w:cs="宋体"/>
                <w:color w:val="auto"/>
                <w:sz w:val="24"/>
                <w:szCs w:val="24"/>
                <w:highlight w:val="none"/>
              </w:rPr>
              <w:t>(以签订的合同或中标通知书为准</w:t>
            </w:r>
            <w:r>
              <w:rPr>
                <w:rFonts w:hint="eastAsia" w:ascii="宋体" w:hAnsi="宋体" w:cs="宋体"/>
                <w:color w:val="auto"/>
                <w:sz w:val="24"/>
                <w:highlight w:val="none"/>
              </w:rPr>
              <w:t>，业绩中必须体现出项目经理的名字</w:t>
            </w:r>
            <w:r>
              <w:rPr>
                <w:rFonts w:hint="eastAsia" w:ascii="宋体" w:hAnsi="宋体" w:cs="宋体"/>
                <w:color w:val="auto"/>
                <w:sz w:val="24"/>
                <w:szCs w:val="24"/>
                <w:highlight w:val="none"/>
              </w:rPr>
              <w:t>)</w:t>
            </w:r>
          </w:p>
        </w:tc>
      </w:tr>
      <w:tr w14:paraId="094D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313" w:type="dxa"/>
            <w:vMerge w:val="continue"/>
            <w:tcBorders>
              <w:top w:val="nil"/>
              <w:left w:val="single" w:color="auto" w:sz="4" w:space="0"/>
              <w:bottom w:val="single" w:color="auto" w:sz="4" w:space="0"/>
              <w:right w:val="single" w:color="auto" w:sz="4" w:space="0"/>
            </w:tcBorders>
            <w:noWrap w:val="0"/>
            <w:vAlign w:val="center"/>
          </w:tcPr>
          <w:p w14:paraId="11DD7A27">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nil"/>
              <w:bottom w:val="single" w:color="auto" w:sz="4" w:space="0"/>
              <w:right w:val="single" w:color="auto" w:sz="4" w:space="0"/>
            </w:tcBorders>
            <w:noWrap w:val="0"/>
            <w:vAlign w:val="center"/>
          </w:tcPr>
          <w:p w14:paraId="1363C8E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类似项目业绩</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4DB07645">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8</w:t>
            </w:r>
          </w:p>
        </w:tc>
        <w:tc>
          <w:tcPr>
            <w:tcW w:w="5370" w:type="dxa"/>
            <w:tcBorders>
              <w:top w:val="single" w:color="auto" w:sz="4" w:space="0"/>
              <w:left w:val="single" w:color="auto" w:sz="4" w:space="0"/>
              <w:bottom w:val="single" w:color="auto" w:sz="4" w:space="0"/>
              <w:right w:val="single" w:color="auto" w:sz="4" w:space="0"/>
            </w:tcBorders>
            <w:noWrap w:val="0"/>
            <w:vAlign w:val="center"/>
          </w:tcPr>
          <w:p w14:paraId="136A32DB">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s="宋体"/>
                <w:color w:val="auto"/>
                <w:sz w:val="24"/>
                <w:szCs w:val="24"/>
                <w:highlight w:val="none"/>
              </w:rPr>
              <w:t>近三年（2022年5月1日至今）完成类似项目的业绩，每提供1个得</w:t>
            </w:r>
            <w:r>
              <w:rPr>
                <w:rFonts w:hint="eastAsia" w:ascii="宋体" w:hAnsi="宋体" w:cs="宋体"/>
                <w:color w:val="auto"/>
                <w:sz w:val="24"/>
                <w:highlight w:val="none"/>
              </w:rPr>
              <w:t>2</w:t>
            </w:r>
            <w:r>
              <w:rPr>
                <w:rFonts w:hint="eastAsia" w:ascii="宋体" w:hAnsi="宋体" w:cs="宋体"/>
                <w:color w:val="auto"/>
                <w:sz w:val="24"/>
                <w:szCs w:val="24"/>
                <w:highlight w:val="none"/>
              </w:rPr>
              <w:t>分，最多得</w:t>
            </w:r>
            <w:r>
              <w:rPr>
                <w:rFonts w:hint="eastAsia" w:ascii="宋体" w:hAnsi="宋体" w:cs="宋体"/>
                <w:color w:val="auto"/>
                <w:sz w:val="24"/>
                <w:highlight w:val="none"/>
              </w:rPr>
              <w:t>8</w:t>
            </w:r>
            <w:r>
              <w:rPr>
                <w:rFonts w:hint="eastAsia" w:ascii="宋体" w:hAnsi="宋体" w:cs="宋体"/>
                <w:color w:val="auto"/>
                <w:sz w:val="24"/>
                <w:szCs w:val="24"/>
                <w:highlight w:val="none"/>
              </w:rPr>
              <w:t>分。(以签订的合同或中标通知书为准)</w:t>
            </w:r>
          </w:p>
        </w:tc>
      </w:tr>
    </w:tbl>
    <w:p w14:paraId="7B956835">
      <w:pPr>
        <w:shd w:val="clear"/>
        <w:spacing w:after="0"/>
        <w:ind w:right="-2"/>
        <w:rPr>
          <w:rFonts w:hint="eastAsia" w:ascii="宋体" w:hAnsi="宋体"/>
          <w:bCs/>
          <w:color w:val="auto"/>
          <w:sz w:val="28"/>
          <w:szCs w:val="28"/>
          <w:highlight w:val="none"/>
        </w:rPr>
      </w:pPr>
    </w:p>
    <w:p w14:paraId="3CB01136">
      <w:pPr>
        <w:shd w:val="clear"/>
        <w:adjustRightInd/>
        <w:snapToGrid/>
        <w:spacing w:after="0"/>
        <w:rPr>
          <w:rFonts w:hint="eastAsia" w:ascii="宋体" w:hAnsi="宋体"/>
          <w:bCs/>
          <w:color w:val="auto"/>
          <w:sz w:val="28"/>
          <w:szCs w:val="28"/>
          <w:highlight w:val="none"/>
        </w:rPr>
      </w:pPr>
      <w:r>
        <w:rPr>
          <w:rFonts w:hint="eastAsia" w:ascii="宋体" w:hAnsi="宋体"/>
          <w:bCs/>
          <w:color w:val="auto"/>
          <w:sz w:val="28"/>
          <w:szCs w:val="28"/>
          <w:highlight w:val="none"/>
        </w:rPr>
        <w:br w:type="page"/>
      </w:r>
    </w:p>
    <w:p w14:paraId="015617F4">
      <w:pPr>
        <w:shd w:val="clear"/>
        <w:spacing w:after="0"/>
        <w:ind w:right="-2"/>
        <w:rPr>
          <w:rFonts w:hint="eastAsia" w:ascii="宋体" w:hAnsi="宋体" w:eastAsia="宋体"/>
          <w:bCs/>
          <w:color w:val="auto"/>
          <w:sz w:val="28"/>
          <w:szCs w:val="28"/>
          <w:highlight w:val="none"/>
          <w:lang w:eastAsia="zh-CN"/>
        </w:rPr>
      </w:pPr>
      <w:r>
        <w:rPr>
          <w:rFonts w:hint="eastAsia" w:ascii="宋体" w:hAnsi="宋体"/>
          <w:bCs/>
          <w:color w:val="auto"/>
          <w:sz w:val="28"/>
          <w:szCs w:val="28"/>
          <w:highlight w:val="none"/>
        </w:rPr>
        <w:t>附件</w:t>
      </w:r>
      <w:r>
        <w:rPr>
          <w:rFonts w:hint="eastAsia" w:ascii="宋体" w:hAnsi="宋体"/>
          <w:bCs/>
          <w:color w:val="auto"/>
          <w:sz w:val="28"/>
          <w:szCs w:val="28"/>
          <w:highlight w:val="none"/>
          <w:lang w:val="en-US" w:eastAsia="zh-CN"/>
        </w:rPr>
        <w:t>4</w:t>
      </w:r>
      <w:r>
        <w:rPr>
          <w:rFonts w:hint="eastAsia" w:ascii="宋体" w:hAnsi="宋体"/>
          <w:bCs/>
          <w:color w:val="auto"/>
          <w:sz w:val="28"/>
          <w:szCs w:val="28"/>
          <w:highlight w:val="none"/>
          <w:lang w:eastAsia="zh-CN"/>
        </w:rPr>
        <w:t>：</w:t>
      </w:r>
    </w:p>
    <w:p w14:paraId="1BC11E9F">
      <w:pPr>
        <w:shd w:val="clear"/>
        <w:spacing w:after="0" w:line="360" w:lineRule="auto"/>
        <w:ind w:right="-2"/>
        <w:jc w:val="center"/>
        <w:rPr>
          <w:rFonts w:hint="eastAsia" w:ascii="宋体" w:hAnsi="宋体" w:cs="Arial"/>
          <w:b/>
          <w:color w:val="auto"/>
          <w:sz w:val="24"/>
          <w:highlight w:val="none"/>
        </w:rPr>
      </w:pPr>
      <w:r>
        <w:rPr>
          <w:rFonts w:hint="eastAsia" w:ascii="宋体" w:hAnsi="宋体"/>
          <w:b/>
          <w:color w:val="auto"/>
          <w:sz w:val="24"/>
          <w:highlight w:val="none"/>
        </w:rPr>
        <w:t>1、履约保证金保函</w:t>
      </w:r>
    </w:p>
    <w:p w14:paraId="5F939AF6">
      <w:pPr>
        <w:shd w:val="clear"/>
        <w:spacing w:after="0"/>
        <w:ind w:right="-2"/>
        <w:jc w:val="center"/>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中标后如以保函形式递交履约保证金以此格式开具</w:t>
      </w:r>
      <w:r>
        <w:rPr>
          <w:rFonts w:ascii="宋体" w:hAnsi="宋体"/>
          <w:color w:val="auto"/>
          <w:sz w:val="24"/>
          <w:highlight w:val="none"/>
        </w:rPr>
        <w:t>）</w:t>
      </w:r>
    </w:p>
    <w:p w14:paraId="29390636">
      <w:pPr>
        <w:shd w:val="clear"/>
        <w:spacing w:after="0"/>
        <w:ind w:right="-2"/>
        <w:jc w:val="center"/>
        <w:rPr>
          <w:rFonts w:hint="eastAsia" w:ascii="宋体" w:hAnsi="宋体"/>
          <w:color w:val="auto"/>
          <w:sz w:val="24"/>
          <w:highlight w:val="none"/>
        </w:rPr>
      </w:pPr>
    </w:p>
    <w:p w14:paraId="303A062C">
      <w:pPr>
        <w:shd w:val="clear"/>
        <w:spacing w:after="0"/>
        <w:ind w:right="-2"/>
        <w:jc w:val="center"/>
        <w:rPr>
          <w:rFonts w:hint="eastAsia" w:ascii="宋体" w:hAnsi="宋体"/>
          <w:color w:val="auto"/>
          <w:sz w:val="24"/>
          <w:highlight w:val="none"/>
        </w:rPr>
      </w:pPr>
      <w:r>
        <w:rPr>
          <w:rFonts w:hint="eastAsia" w:ascii="宋体" w:hAnsi="宋体"/>
          <w:b/>
          <w:color w:val="auto"/>
          <w:sz w:val="24"/>
          <w:highlight w:val="none"/>
        </w:rPr>
        <w:t>银行出具的履约保函格式</w:t>
      </w:r>
    </w:p>
    <w:p w14:paraId="0B006C0F">
      <w:pPr>
        <w:shd w:val="clear"/>
        <w:spacing w:after="0"/>
        <w:ind w:right="-2"/>
        <w:rPr>
          <w:rFonts w:hint="eastAsia" w:ascii="宋体" w:hAnsi="宋体"/>
          <w:color w:val="auto"/>
          <w:sz w:val="24"/>
          <w:highlight w:val="none"/>
        </w:rPr>
      </w:pPr>
      <w:r>
        <w:rPr>
          <w:rFonts w:ascii="宋体" w:hAnsi="宋体"/>
          <w:color w:val="auto"/>
          <w:sz w:val="24"/>
          <w:highlight w:val="none"/>
          <w:u w:val="single"/>
        </w:rPr>
        <w:t>　　　　　　　　　　　　　　</w:t>
      </w:r>
      <w:r>
        <w:rPr>
          <w:rFonts w:ascii="宋体" w:hAnsi="宋体"/>
          <w:color w:val="auto"/>
          <w:sz w:val="24"/>
          <w:highlight w:val="none"/>
        </w:rPr>
        <w:t>：</w:t>
      </w:r>
    </w:p>
    <w:p w14:paraId="7201A687">
      <w:pPr>
        <w:shd w:val="clear"/>
        <w:spacing w:after="0" w:line="360" w:lineRule="auto"/>
        <w:ind w:right="-2" w:firstLine="480"/>
        <w:rPr>
          <w:rFonts w:hint="eastAsia" w:ascii="宋体" w:hAnsi="宋体"/>
          <w:color w:val="auto"/>
          <w:sz w:val="24"/>
          <w:highlight w:val="none"/>
        </w:rPr>
      </w:pPr>
      <w:r>
        <w:rPr>
          <w:rFonts w:ascii="宋体" w:hAnsi="宋体"/>
          <w:color w:val="auto"/>
          <w:sz w:val="24"/>
          <w:highlight w:val="none"/>
        </w:rPr>
        <w:t>本保函是我行（</w:t>
      </w:r>
      <w:r>
        <w:rPr>
          <w:rFonts w:ascii="宋体" w:hAnsi="宋体"/>
          <w:color w:val="auto"/>
          <w:sz w:val="24"/>
          <w:highlight w:val="none"/>
          <w:u w:val="single"/>
        </w:rPr>
        <w:t xml:space="preserve">           〈银行全称〉</w:t>
      </w:r>
      <w:r>
        <w:rPr>
          <w:rFonts w:ascii="宋体" w:hAnsi="宋体"/>
          <w:color w:val="auto"/>
          <w:sz w:val="24"/>
          <w:highlight w:val="none"/>
        </w:rPr>
        <w:t>）为</w:t>
      </w:r>
      <w:r>
        <w:rPr>
          <w:rFonts w:ascii="宋体" w:hAnsi="宋体"/>
          <w:color w:val="auto"/>
          <w:sz w:val="24"/>
          <w:highlight w:val="none"/>
          <w:u w:val="single"/>
        </w:rPr>
        <w:t xml:space="preserve">          （以下简称卖方）</w:t>
      </w:r>
      <w:r>
        <w:rPr>
          <w:rFonts w:ascii="宋体" w:hAnsi="宋体"/>
          <w:color w:val="auto"/>
          <w:sz w:val="24"/>
          <w:highlight w:val="none"/>
        </w:rPr>
        <w:t>根据贵处组织的</w:t>
      </w:r>
      <w:r>
        <w:rPr>
          <w:rFonts w:ascii="宋体" w:hAnsi="宋体"/>
          <w:color w:val="auto"/>
          <w:sz w:val="24"/>
          <w:highlight w:val="none"/>
          <w:u w:val="single"/>
        </w:rPr>
        <w:t xml:space="preserve">          项目（项目编号</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hint="eastAsia" w:ascii="宋体" w:hAnsi="宋体"/>
          <w:color w:val="auto"/>
          <w:sz w:val="24"/>
          <w:highlight w:val="none"/>
        </w:rPr>
        <w:t>投标</w:t>
      </w:r>
      <w:r>
        <w:rPr>
          <w:rFonts w:ascii="宋体" w:hAnsi="宋体"/>
          <w:color w:val="auto"/>
          <w:sz w:val="24"/>
          <w:highlight w:val="none"/>
        </w:rPr>
        <w:t>结果，将与</w:t>
      </w:r>
      <w:r>
        <w:rPr>
          <w:rFonts w:ascii="宋体" w:hAnsi="宋体"/>
          <w:color w:val="auto"/>
          <w:sz w:val="24"/>
          <w:highlight w:val="none"/>
          <w:u w:val="single"/>
        </w:rPr>
        <w:t xml:space="preserve">           （以下简称买方）</w:t>
      </w:r>
      <w:r>
        <w:rPr>
          <w:rFonts w:ascii="宋体" w:hAnsi="宋体"/>
          <w:color w:val="auto"/>
          <w:sz w:val="24"/>
          <w:highlight w:val="none"/>
        </w:rPr>
        <w:t>签订的经济合同及执行合同提供的担保。保证金额为</w:t>
      </w:r>
      <w:r>
        <w:rPr>
          <w:rFonts w:ascii="宋体" w:hAnsi="宋体"/>
          <w:color w:val="auto"/>
          <w:sz w:val="24"/>
          <w:highlight w:val="none"/>
          <w:u w:val="single"/>
        </w:rPr>
        <w:t xml:space="preserve">              元</w:t>
      </w:r>
      <w:r>
        <w:rPr>
          <w:rFonts w:ascii="宋体" w:hAnsi="宋体"/>
          <w:color w:val="auto"/>
          <w:sz w:val="24"/>
          <w:highlight w:val="none"/>
        </w:rPr>
        <w:t>（大写人民币），即合同总金额的10%。</w:t>
      </w:r>
    </w:p>
    <w:p w14:paraId="4BF51F7C">
      <w:pPr>
        <w:shd w:val="clear"/>
        <w:spacing w:after="0" w:line="360" w:lineRule="auto"/>
        <w:ind w:right="-2" w:firstLine="435"/>
        <w:rPr>
          <w:rFonts w:hint="eastAsia" w:ascii="宋体" w:hAnsi="宋体"/>
          <w:color w:val="auto"/>
          <w:sz w:val="24"/>
          <w:highlight w:val="none"/>
        </w:rPr>
      </w:pPr>
      <w:r>
        <w:rPr>
          <w:rFonts w:ascii="宋体" w:hAnsi="宋体"/>
          <w:color w:val="auto"/>
          <w:sz w:val="24"/>
          <w:highlight w:val="none"/>
        </w:rPr>
        <w:t>当我行在收到贵处说明卖方违约的书面通知后，在20天内按通知要求金额无条件地支付给买方。</w:t>
      </w:r>
    </w:p>
    <w:p w14:paraId="05DBD2D7">
      <w:pPr>
        <w:shd w:val="clear"/>
        <w:spacing w:after="0" w:line="360" w:lineRule="auto"/>
        <w:ind w:right="-2" w:firstLine="435"/>
        <w:rPr>
          <w:rFonts w:hint="eastAsia" w:ascii="宋体" w:hAnsi="宋体"/>
          <w:color w:val="auto"/>
          <w:sz w:val="24"/>
          <w:highlight w:val="none"/>
        </w:rPr>
      </w:pPr>
      <w:r>
        <w:rPr>
          <w:rFonts w:ascii="宋体" w:hAnsi="宋体"/>
          <w:color w:val="auto"/>
          <w:sz w:val="24"/>
          <w:highlight w:val="none"/>
        </w:rPr>
        <w:t>本保函的有效期为自开出之日起，至全部货物验收</w:t>
      </w:r>
      <w:r>
        <w:rPr>
          <w:rFonts w:hint="eastAsia" w:ascii="宋体" w:hAnsi="宋体"/>
          <w:color w:val="auto"/>
          <w:sz w:val="24"/>
          <w:highlight w:val="none"/>
        </w:rPr>
        <w:t>合格</w:t>
      </w:r>
      <w:r>
        <w:rPr>
          <w:rFonts w:ascii="宋体" w:hAnsi="宋体"/>
          <w:color w:val="auto"/>
          <w:sz w:val="24"/>
          <w:highlight w:val="none"/>
        </w:rPr>
        <w:t>之日止。</w:t>
      </w:r>
    </w:p>
    <w:p w14:paraId="69BF6AB3">
      <w:pPr>
        <w:shd w:val="clear"/>
        <w:spacing w:after="0"/>
        <w:ind w:right="-2" w:firstLine="435"/>
        <w:rPr>
          <w:rFonts w:hint="eastAsia" w:ascii="宋体" w:hAnsi="宋体"/>
          <w:color w:val="auto"/>
          <w:sz w:val="24"/>
          <w:highlight w:val="none"/>
        </w:rPr>
      </w:pPr>
    </w:p>
    <w:p w14:paraId="138C4804">
      <w:pPr>
        <w:shd w:val="clear"/>
        <w:tabs>
          <w:tab w:val="left" w:pos="4536"/>
        </w:tabs>
        <w:spacing w:after="0"/>
        <w:ind w:right="-2" w:firstLine="435"/>
        <w:rPr>
          <w:rFonts w:hint="eastAsia" w:ascii="宋体" w:hAnsi="宋体"/>
          <w:color w:val="auto"/>
          <w:sz w:val="24"/>
          <w:highlight w:val="none"/>
        </w:rPr>
      </w:pPr>
      <w:r>
        <w:rPr>
          <w:rFonts w:ascii="宋体" w:hAnsi="宋体"/>
          <w:color w:val="auto"/>
          <w:sz w:val="24"/>
          <w:highlight w:val="none"/>
        </w:rPr>
        <w:t>银行全称：　　　　　　　        卖方全称：</w:t>
      </w:r>
    </w:p>
    <w:p w14:paraId="3D6F2BD6">
      <w:pPr>
        <w:shd w:val="clear"/>
        <w:spacing w:after="0"/>
        <w:ind w:right="-2" w:firstLine="435"/>
        <w:rPr>
          <w:rFonts w:hint="eastAsia" w:ascii="宋体" w:hAnsi="宋体"/>
          <w:color w:val="auto"/>
          <w:sz w:val="24"/>
          <w:highlight w:val="none"/>
        </w:rPr>
      </w:pPr>
    </w:p>
    <w:p w14:paraId="7D4577A2">
      <w:pPr>
        <w:shd w:val="clear"/>
        <w:spacing w:after="0"/>
        <w:ind w:right="-2" w:firstLine="360"/>
        <w:rPr>
          <w:rFonts w:hint="eastAsia" w:ascii="宋体" w:hAnsi="宋体"/>
          <w:color w:val="auto"/>
          <w:sz w:val="24"/>
          <w:highlight w:val="none"/>
        </w:rPr>
      </w:pPr>
      <w:r>
        <w:rPr>
          <w:rFonts w:ascii="宋体" w:hAnsi="宋体"/>
          <w:color w:val="auto"/>
          <w:sz w:val="24"/>
          <w:highlight w:val="none"/>
        </w:rPr>
        <w:t>（盖章）                        （</w:t>
      </w:r>
      <w:r>
        <w:rPr>
          <w:rFonts w:hint="eastAsia" w:ascii="宋体" w:hAnsi="宋体"/>
          <w:color w:val="auto"/>
          <w:sz w:val="24"/>
          <w:highlight w:val="none"/>
        </w:rPr>
        <w:t>公</w:t>
      </w:r>
      <w:r>
        <w:rPr>
          <w:rFonts w:ascii="宋体" w:hAnsi="宋体"/>
          <w:color w:val="auto"/>
          <w:sz w:val="24"/>
          <w:highlight w:val="none"/>
        </w:rPr>
        <w:t>章）</w:t>
      </w:r>
    </w:p>
    <w:p w14:paraId="50F61B6E">
      <w:pPr>
        <w:shd w:val="clear"/>
        <w:spacing w:after="0"/>
        <w:ind w:right="-2" w:firstLine="435"/>
        <w:rPr>
          <w:rFonts w:hint="eastAsia" w:ascii="宋体" w:hAnsi="宋体"/>
          <w:color w:val="auto"/>
          <w:sz w:val="24"/>
          <w:highlight w:val="none"/>
        </w:rPr>
      </w:pPr>
    </w:p>
    <w:p w14:paraId="2D9859F9">
      <w:pPr>
        <w:shd w:val="clear"/>
        <w:spacing w:after="0"/>
        <w:ind w:right="-2" w:firstLine="435"/>
        <w:rPr>
          <w:rFonts w:hint="eastAsia" w:ascii="宋体" w:hAnsi="宋体"/>
          <w:color w:val="auto"/>
          <w:sz w:val="24"/>
          <w:highlight w:val="none"/>
        </w:rPr>
      </w:pPr>
      <w:r>
        <w:rPr>
          <w:rFonts w:ascii="宋体" w:hAnsi="宋体"/>
          <w:color w:val="auto"/>
          <w:sz w:val="24"/>
          <w:highlight w:val="none"/>
        </w:rPr>
        <w:t>开具人（签字）：　　　　　      被授权人（签字）：</w:t>
      </w:r>
    </w:p>
    <w:p w14:paraId="3EBF6DB3">
      <w:pPr>
        <w:shd w:val="clear"/>
        <w:spacing w:after="0"/>
        <w:ind w:right="-2" w:firstLine="435"/>
        <w:rPr>
          <w:rFonts w:hint="eastAsia" w:ascii="宋体" w:hAnsi="宋体"/>
          <w:color w:val="auto"/>
          <w:sz w:val="24"/>
          <w:highlight w:val="none"/>
        </w:rPr>
      </w:pPr>
    </w:p>
    <w:p w14:paraId="4CCBF3FF">
      <w:pPr>
        <w:shd w:val="clear"/>
        <w:spacing w:after="0"/>
        <w:ind w:right="-2" w:firstLine="435"/>
        <w:rPr>
          <w:rFonts w:hint="eastAsia" w:ascii="宋体" w:hAnsi="宋体"/>
          <w:color w:val="auto"/>
          <w:sz w:val="24"/>
          <w:highlight w:val="none"/>
        </w:rPr>
      </w:pPr>
      <w:r>
        <w:rPr>
          <w:rFonts w:ascii="宋体" w:hAnsi="宋体"/>
          <w:color w:val="auto"/>
          <w:sz w:val="24"/>
          <w:highlight w:val="none"/>
        </w:rPr>
        <w:t>职　务：　　　　　　　　        职　务：</w:t>
      </w:r>
    </w:p>
    <w:p w14:paraId="70A25619">
      <w:pPr>
        <w:shd w:val="clear"/>
        <w:spacing w:after="0"/>
        <w:ind w:right="-2" w:firstLine="435"/>
        <w:rPr>
          <w:rFonts w:hint="eastAsia" w:ascii="宋体" w:hAnsi="宋体"/>
          <w:color w:val="auto"/>
          <w:sz w:val="24"/>
          <w:highlight w:val="none"/>
        </w:rPr>
      </w:pPr>
    </w:p>
    <w:p w14:paraId="1C0BB54C">
      <w:pPr>
        <w:shd w:val="clear"/>
        <w:spacing w:after="0"/>
        <w:ind w:right="-2" w:firstLine="435"/>
        <w:rPr>
          <w:rFonts w:hint="eastAsia" w:ascii="宋体" w:hAnsi="宋体"/>
          <w:color w:val="auto"/>
          <w:sz w:val="24"/>
          <w:highlight w:val="none"/>
        </w:rPr>
      </w:pPr>
      <w:r>
        <w:rPr>
          <w:rFonts w:ascii="宋体" w:hAnsi="宋体"/>
          <w:color w:val="auto"/>
          <w:sz w:val="24"/>
          <w:highlight w:val="none"/>
        </w:rPr>
        <w:t>电　话：　　　　　　　　        电　话：</w:t>
      </w:r>
    </w:p>
    <w:p w14:paraId="316C3B06">
      <w:pPr>
        <w:shd w:val="clear"/>
        <w:spacing w:after="0"/>
        <w:ind w:right="-2" w:firstLine="435"/>
        <w:rPr>
          <w:rFonts w:hint="eastAsia" w:ascii="宋体" w:hAnsi="宋体"/>
          <w:color w:val="auto"/>
          <w:sz w:val="24"/>
          <w:highlight w:val="none"/>
        </w:rPr>
      </w:pPr>
    </w:p>
    <w:p w14:paraId="27364588">
      <w:pPr>
        <w:shd w:val="clear"/>
        <w:spacing w:after="0"/>
        <w:ind w:right="-2" w:firstLine="435"/>
        <w:rPr>
          <w:rFonts w:hint="eastAsia" w:ascii="宋体" w:hAnsi="宋体"/>
          <w:color w:val="auto"/>
          <w:sz w:val="24"/>
          <w:highlight w:val="none"/>
        </w:rPr>
      </w:pPr>
      <w:r>
        <w:rPr>
          <w:rFonts w:ascii="宋体" w:hAnsi="宋体"/>
          <w:color w:val="auto"/>
          <w:sz w:val="24"/>
          <w:highlight w:val="none"/>
        </w:rPr>
        <w:t>传　真：　　　　　　　　        传　真：</w:t>
      </w:r>
    </w:p>
    <w:p w14:paraId="7EB770C3">
      <w:pPr>
        <w:shd w:val="clear"/>
        <w:spacing w:after="0"/>
        <w:ind w:right="-2" w:firstLine="435"/>
        <w:rPr>
          <w:rFonts w:hint="eastAsia" w:ascii="宋体" w:hAnsi="宋体"/>
          <w:color w:val="auto"/>
          <w:sz w:val="24"/>
          <w:highlight w:val="none"/>
        </w:rPr>
      </w:pPr>
    </w:p>
    <w:p w14:paraId="5E0636FE">
      <w:pPr>
        <w:shd w:val="clear"/>
        <w:spacing w:after="0"/>
        <w:ind w:right="-2" w:firstLine="435"/>
        <w:rPr>
          <w:rFonts w:hint="eastAsia" w:ascii="宋体" w:hAnsi="宋体"/>
          <w:color w:val="auto"/>
          <w:sz w:val="24"/>
          <w:highlight w:val="none"/>
        </w:rPr>
      </w:pPr>
      <w:r>
        <w:rPr>
          <w:rFonts w:ascii="宋体" w:hAnsi="宋体"/>
          <w:color w:val="auto"/>
          <w:sz w:val="24"/>
          <w:highlight w:val="none"/>
        </w:rPr>
        <w:t>日　期：　　　　　　　　        日　期：</w:t>
      </w:r>
    </w:p>
    <w:p w14:paraId="13A36F0B">
      <w:pPr>
        <w:shd w:val="clear"/>
        <w:rPr>
          <w:rFonts w:hint="eastAsia" w:ascii="宋体" w:hAnsi="宋体"/>
          <w:b/>
          <w:color w:val="auto"/>
          <w:sz w:val="24"/>
          <w:highlight w:val="none"/>
        </w:rPr>
      </w:pPr>
      <w:r>
        <w:rPr>
          <w:rFonts w:hint="eastAsia" w:ascii="宋体" w:hAnsi="宋体"/>
          <w:b/>
          <w:color w:val="auto"/>
          <w:sz w:val="24"/>
          <w:highlight w:val="none"/>
        </w:rPr>
        <w:br w:type="page"/>
      </w:r>
    </w:p>
    <w:p w14:paraId="658E5F7A">
      <w:pPr>
        <w:shd w:val="clear"/>
        <w:snapToGrid w:val="0"/>
        <w:spacing w:line="360" w:lineRule="auto"/>
        <w:rPr>
          <w:rFonts w:hint="eastAsia" w:ascii="宋体" w:hAnsi="宋体" w:eastAsia="宋体"/>
          <w:b/>
          <w:bCs/>
          <w:color w:val="auto"/>
          <w:sz w:val="28"/>
          <w:szCs w:val="28"/>
          <w:highlight w:val="none"/>
          <w:lang w:eastAsia="zh-CN"/>
        </w:rPr>
      </w:pPr>
      <w:r>
        <w:rPr>
          <w:rFonts w:hint="eastAsia" w:ascii="宋体" w:hAnsi="宋体"/>
          <w:b/>
          <w:bCs/>
          <w:color w:val="auto"/>
          <w:sz w:val="28"/>
          <w:szCs w:val="28"/>
          <w:highlight w:val="none"/>
        </w:rPr>
        <w:t>附件</w:t>
      </w:r>
      <w:r>
        <w:rPr>
          <w:rFonts w:hint="eastAsia" w:ascii="宋体" w:hAnsi="宋体"/>
          <w:b/>
          <w:bCs/>
          <w:color w:val="auto"/>
          <w:sz w:val="28"/>
          <w:szCs w:val="28"/>
          <w:highlight w:val="none"/>
          <w:lang w:val="en-US" w:eastAsia="zh-CN"/>
        </w:rPr>
        <w:t>5</w:t>
      </w:r>
      <w:r>
        <w:rPr>
          <w:rFonts w:hint="eastAsia" w:ascii="宋体" w:hAnsi="宋体"/>
          <w:b/>
          <w:bCs/>
          <w:color w:val="auto"/>
          <w:sz w:val="28"/>
          <w:szCs w:val="28"/>
          <w:highlight w:val="none"/>
          <w:lang w:eastAsia="zh-CN"/>
        </w:rPr>
        <w:t>：</w:t>
      </w:r>
    </w:p>
    <w:p w14:paraId="2D4E0EB7">
      <w:pPr>
        <w:pStyle w:val="3"/>
        <w:shd w:val="clear"/>
        <w:rPr>
          <w:rFonts w:asciiTheme="minorEastAsia" w:hAnsiTheme="minorEastAsia" w:eastAsiaTheme="minorEastAsia"/>
          <w:color w:val="auto"/>
          <w:sz w:val="28"/>
          <w:szCs w:val="28"/>
          <w:highlight w:val="none"/>
        </w:rPr>
      </w:pPr>
      <w:bookmarkStart w:id="20" w:name="_Toc198800749"/>
      <w:r>
        <w:rPr>
          <w:rFonts w:hint="eastAsia" w:asciiTheme="minorEastAsia" w:hAnsiTheme="minorEastAsia" w:eastAsiaTheme="minorEastAsia"/>
          <w:color w:val="auto"/>
          <w:sz w:val="28"/>
          <w:szCs w:val="28"/>
          <w:highlight w:val="none"/>
        </w:rPr>
        <w:t>递交备份投标（响应）文件授权函</w:t>
      </w:r>
      <w:bookmarkEnd w:id="20"/>
    </w:p>
    <w:p w14:paraId="074A8A2E">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ascii="宋体" w:hAnsi="宋体"/>
          <w:color w:val="auto"/>
          <w:sz w:val="24"/>
          <w:highlight w:val="none"/>
        </w:rPr>
      </w:pPr>
      <w:r>
        <w:rPr>
          <w:rFonts w:hint="eastAsia" w:ascii="宋体" w:hAnsi="宋体"/>
          <w:color w:val="auto"/>
          <w:sz w:val="24"/>
          <w:highlight w:val="none"/>
        </w:rPr>
        <w:t>（采购单位,招标代理机构名称）：</w:t>
      </w:r>
    </w:p>
    <w:p w14:paraId="169BDF4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我单位现授权姓名：（身份证号：) 性别：职务：向贵单位提交（采购项目名称及项 目编号）的备份投标（响应）文件。</w:t>
      </w:r>
    </w:p>
    <w:p w14:paraId="3A89684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我单位知悉 ：</w:t>
      </w:r>
    </w:p>
    <w:p w14:paraId="3621CC7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1.投标人应在投标（响应）截止时间前将加密的投标 （响应）文件上传至“大连国企阳光采购服务平台”，递交备份投标（响应）文件的，应在投标（响应）截止 时间前按采购文件规定的地点递交。</w:t>
      </w:r>
    </w:p>
    <w:p w14:paraId="73B7369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2.备份投标（响应）文件必须与通过系统上传加密的投标（响应）文件为同一时间使用投标文件制作工具生成的一套文件。</w:t>
      </w:r>
    </w:p>
    <w:p w14:paraId="602C66A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3.备份投标（响应）文件的存储、密封、递交等应按照采购文件要求执行。</w:t>
      </w:r>
    </w:p>
    <w:p w14:paraId="6882645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4.递交备份投标（响应）文件时，投标人代表应出具 《递交备份投标（响应）文件 授权函》，未按要求提供的，采购单位、招标代理机构应拒收备份投标（响应）文件。</w:t>
      </w:r>
    </w:p>
    <w:p w14:paraId="6E17D971">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5.通过“大连国企阳光采购服务平台”上传递交的投标（响应）文件无法按时 解密，投标人递交了备份投标（响应）文件的，以备份投标（响应）文件为依据，否则视为投标（响应）文件撤回。通过“大连国企阳光采购服务平台”上传递交的投标（响应）文件已按时解密的，备份投标（响应）文件自动失效。投标人仅提交备份投标（响应）文件，没有通过“大连国企阳光采购服务平台”上传递交投标（响应）文件的 ，投标（响应）无效。</w:t>
      </w:r>
    </w:p>
    <w:p w14:paraId="77463B0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6.备份投标（响应）文件不是投标（响应）备选方案 。</w:t>
      </w:r>
    </w:p>
    <w:p w14:paraId="3C9FBEBB">
      <w:pPr>
        <w:pStyle w:val="2"/>
        <w:shd w:val="clear"/>
        <w:spacing w:line="240" w:lineRule="auto"/>
        <w:ind w:firstLine="480" w:firstLineChars="200"/>
        <w:jc w:val="right"/>
        <w:rPr>
          <w:rFonts w:ascii="宋体" w:hAnsi="宋体"/>
          <w:color w:val="auto"/>
          <w:sz w:val="24"/>
          <w:highlight w:val="none"/>
        </w:rPr>
      </w:pPr>
      <w:r>
        <w:rPr>
          <w:rFonts w:hint="eastAsia" w:ascii="宋体" w:hAnsi="宋体"/>
          <w:color w:val="auto"/>
          <w:sz w:val="24"/>
          <w:highlight w:val="none"/>
        </w:rPr>
        <w:t>投标人名称（盖章）：</w:t>
      </w:r>
    </w:p>
    <w:p w14:paraId="59B73D47">
      <w:pPr>
        <w:pStyle w:val="2"/>
        <w:shd w:val="clear"/>
        <w:wordWrap w:val="0"/>
        <w:spacing w:line="240" w:lineRule="auto"/>
        <w:ind w:firstLine="480" w:firstLineChars="200"/>
        <w:jc w:val="right"/>
        <w:rPr>
          <w:rFonts w:ascii="宋体" w:hAnsi="宋体"/>
          <w:color w:val="auto"/>
          <w:sz w:val="24"/>
          <w:highlight w:val="none"/>
        </w:rPr>
      </w:pPr>
      <w:r>
        <w:rPr>
          <w:rFonts w:hint="eastAsia" w:ascii="宋体" w:hAnsi="宋体"/>
          <w:color w:val="auto"/>
          <w:sz w:val="24"/>
          <w:highlight w:val="none"/>
        </w:rPr>
        <w:t>日期：年月日</w:t>
      </w:r>
    </w:p>
    <w:p w14:paraId="5F481C90">
      <w:pPr>
        <w:pStyle w:val="2"/>
        <w:shd w:val="clear"/>
        <w:ind w:firstLine="480" w:firstLineChars="200"/>
        <w:rPr>
          <w:rFonts w:ascii="宋体" w:hAnsi="宋体"/>
          <w:color w:val="auto"/>
          <w:sz w:val="24"/>
          <w:highlight w:val="none"/>
        </w:rPr>
      </w:pPr>
      <w:r>
        <w:rPr>
          <w:rFonts w:hint="eastAsia" w:ascii="宋体" w:hAnsi="宋体"/>
          <w:color w:val="auto"/>
          <w:sz w:val="24"/>
          <w:highlight w:val="none"/>
        </w:rPr>
        <w:t>附：授权代表身份证（正反面）</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2"/>
        <w:gridCol w:w="4503"/>
      </w:tblGrid>
      <w:tr w14:paraId="6A2C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trPr>
        <w:tc>
          <w:tcPr>
            <w:tcW w:w="4502" w:type="dxa"/>
            <w:tcBorders>
              <w:top w:val="single" w:color="auto" w:sz="4" w:space="0"/>
              <w:left w:val="single" w:color="auto" w:sz="4" w:space="0"/>
              <w:bottom w:val="single" w:color="auto" w:sz="4" w:space="0"/>
              <w:right w:val="single" w:color="auto" w:sz="4" w:space="0"/>
            </w:tcBorders>
            <w:vAlign w:val="center"/>
          </w:tcPr>
          <w:p w14:paraId="4ADC39BB">
            <w:pPr>
              <w:pStyle w:val="2"/>
              <w:shd w:val="clear"/>
              <w:spacing w:line="360" w:lineRule="auto"/>
              <w:jc w:val="center"/>
              <w:rPr>
                <w:rFonts w:ascii="宋体" w:hAnsi="宋体"/>
                <w:color w:val="auto"/>
                <w:sz w:val="24"/>
                <w:highlight w:val="none"/>
              </w:rPr>
            </w:pPr>
            <w:r>
              <w:rPr>
                <w:rFonts w:hint="eastAsia" w:ascii="宋体" w:hAnsi="宋体"/>
                <w:color w:val="auto"/>
                <w:sz w:val="24"/>
                <w:highlight w:val="none"/>
              </w:rPr>
              <w:t>授权代表身份证复印件（或扫描件）正面</w:t>
            </w:r>
          </w:p>
        </w:tc>
        <w:tc>
          <w:tcPr>
            <w:tcW w:w="4503" w:type="dxa"/>
            <w:tcBorders>
              <w:top w:val="single" w:color="auto" w:sz="4" w:space="0"/>
              <w:left w:val="single" w:color="auto" w:sz="4" w:space="0"/>
              <w:bottom w:val="single" w:color="auto" w:sz="4" w:space="0"/>
              <w:right w:val="single" w:color="auto" w:sz="4" w:space="0"/>
            </w:tcBorders>
            <w:vAlign w:val="center"/>
          </w:tcPr>
          <w:p w14:paraId="108E40F0">
            <w:pPr>
              <w:pStyle w:val="2"/>
              <w:shd w:val="clear"/>
              <w:spacing w:line="360" w:lineRule="auto"/>
              <w:jc w:val="center"/>
              <w:rPr>
                <w:rFonts w:ascii="宋体" w:hAnsi="宋体"/>
                <w:color w:val="auto"/>
                <w:sz w:val="24"/>
                <w:highlight w:val="none"/>
              </w:rPr>
            </w:pPr>
            <w:r>
              <w:rPr>
                <w:rFonts w:hint="eastAsia" w:ascii="宋体" w:hAnsi="宋体"/>
                <w:color w:val="auto"/>
                <w:sz w:val="24"/>
                <w:highlight w:val="none"/>
              </w:rPr>
              <w:t>授权代表身份证复印件（或扫描件）反面</w:t>
            </w:r>
          </w:p>
        </w:tc>
      </w:tr>
    </w:tbl>
    <w:p w14:paraId="5AEC3ADF">
      <w:pPr>
        <w:pStyle w:val="2"/>
        <w:shd w:val="clear"/>
        <w:rPr>
          <w:rFonts w:hint="eastAsia"/>
          <w:color w:val="auto"/>
          <w:highlight w:val="none"/>
        </w:rPr>
      </w:pPr>
    </w:p>
    <w:sectPr>
      <w:headerReference r:id="rId8" w:type="default"/>
      <w:footerReference r:id="rId9" w:type="default"/>
      <w:pgSz w:w="11906" w:h="16838"/>
      <w:pgMar w:top="1440" w:right="1134" w:bottom="1440" w:left="1418" w:header="709" w:footer="863" w:gutter="0"/>
      <w:pgBorders>
        <w:top w:val="none" w:sz="0" w:space="0"/>
        <w:left w:val="none" w:sz="0" w:space="0"/>
        <w:bottom w:val="none" w:sz="0" w:space="0"/>
        <w:right w:val="none" w:sz="0" w:space="0"/>
      </w:pgBorders>
      <w:pgNumType w:fmt="numberInDash"/>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宋体-18030">
    <w:altName w:val="微软雅黑"/>
    <w:panose1 w:val="00000000000000000000"/>
    <w:charset w:val="86"/>
    <w:family w:val="modern"/>
    <w:pitch w:val="default"/>
    <w:sig w:usb0="00000000" w:usb1="00000000" w:usb2="0000001E" w:usb3="00000000" w:csb0="003C004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3C93D">
    <w:pPr>
      <w:pStyle w:val="11"/>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t>- 34 -</w:t>
    </w:r>
    <w:r>
      <w:rPr>
        <w:rStyle w:val="21"/>
      </w:rPr>
      <w:fldChar w:fldCharType="end"/>
    </w:r>
  </w:p>
  <w:p w14:paraId="508E9BBE">
    <w:pPr>
      <w:pStyle w:val="11"/>
      <w:rPr>
        <w:rFonts w:ascii="仿宋_GB2312" w:eastAsia="仿宋_GB2312"/>
        <w:sz w:val="21"/>
        <w:szCs w:val="21"/>
      </w:rPr>
    </w:pPr>
    <w:r>
      <w:rPr>
        <w:rFonts w:ascii="仿宋_GB2312" w:eastAsia="仿宋_GB2312"/>
        <w:sz w:val="21"/>
        <w:szCs w:val="21"/>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187325</wp:posOffset>
              </wp:positionV>
              <wp:extent cx="5505450" cy="635"/>
              <wp:effectExtent l="9525" t="9525" r="9525" b="8890"/>
              <wp:wrapNone/>
              <wp:docPr id="1673754368" name="Line 1"/>
              <wp:cNvGraphicFramePr/>
              <a:graphic xmlns:a="http://schemas.openxmlformats.org/drawingml/2006/main">
                <a:graphicData uri="http://schemas.microsoft.com/office/word/2010/wordprocessingShape">
                  <wps:wsp>
                    <wps:cNvCnPr>
                      <a:cxnSpLocks noChangeShapeType="1"/>
                    </wps:cNvCnPr>
                    <wps:spPr bwMode="auto">
                      <a:xfrm>
                        <a:off x="0" y="0"/>
                        <a:ext cx="5505450" cy="635"/>
                      </a:xfrm>
                      <a:prstGeom prst="line">
                        <a:avLst/>
                      </a:prstGeom>
                      <a:noFill/>
                      <a:ln w="9525">
                        <a:solidFill>
                          <a:srgbClr val="000000"/>
                        </a:solidFill>
                        <a:round/>
                      </a:ln>
                    </wps:spPr>
                    <wps:bodyPr/>
                  </wps:wsp>
                </a:graphicData>
              </a:graphic>
            </wp:anchor>
          </w:drawing>
        </mc:Choice>
        <mc:Fallback>
          <w:pict>
            <v:line id="Line 1" o:spid="_x0000_s1026" o:spt="20" style="position:absolute;left:0pt;margin-left:0pt;margin-top:14.75pt;height:0.05pt;width:433.5pt;z-index:251660288;mso-width-relative:page;mso-height-relative:page;" filled="f" stroked="t" coordsize="21600,21600" o:gfxdata="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KY3jzPUAAAABgEAAA8AAAAAAAAAAQAgAAAAIgAA&#10;AGRycy9kb3ducmV2LnhtbFBLAQIUABQAAAAIAIdO4kBfLoqj0wEAAKoDAAAOAAAAAAAAAAEAIAAA&#10;ACMBAABkcnMvZTJvRG9jLnhtbFBLBQYAAAAABgAGAFkBAABoBQAAAAA=&#10;">
              <v:fill on="f" focussize="0,0"/>
              <v:stroke color="#000000" joinstyle="round"/>
              <v:imagedata o:title=""/>
              <o:lock v:ext="edit" aspectratio="f"/>
            </v:line>
          </w:pict>
        </mc:Fallback>
      </mc:AlternateContent>
    </w:r>
  </w:p>
  <w:p w14:paraId="50645762">
    <w:pPr>
      <w:pStyle w:val="11"/>
      <w:jc w:val="right"/>
      <w:rPr>
        <w:rFonts w:ascii="仿宋_GB2312" w:eastAsia="仿宋_GB2312"/>
        <w:sz w:val="21"/>
        <w:szCs w:val="21"/>
      </w:rPr>
    </w:pPr>
    <w:r>
      <w:rPr>
        <w:rFonts w:hint="eastAsia" w:ascii="仿宋_GB2312" w:eastAsia="仿宋_GB2312"/>
        <w:sz w:val="21"/>
        <w:szCs w:val="21"/>
      </w:rPr>
      <w:t>地址：</w:t>
    </w:r>
    <w:bookmarkStart w:id="21" w:name="_Hlk196406591"/>
    <w:r>
      <w:rPr>
        <w:rFonts w:hint="eastAsia" w:ascii="仿宋_GB2312" w:eastAsia="仿宋_GB2312"/>
        <w:sz w:val="21"/>
        <w:szCs w:val="21"/>
      </w:rPr>
      <w:t>大连市甘井子区泉水A4区43A号建设控股大厦306室</w:t>
    </w:r>
    <w:bookmarkEnd w:id="21"/>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64FDF">
    <w:pPr>
      <w:pStyle w:val="11"/>
      <w:framePr w:wrap="around" w:vAnchor="text" w:hAnchor="margin" w:xAlign="center" w:y="1"/>
      <w:rPr>
        <w:rStyle w:val="21"/>
      </w:rPr>
    </w:pPr>
    <w:r>
      <w:rPr>
        <w:rStyle w:val="21"/>
      </w:rPr>
      <w:fldChar w:fldCharType="begin"/>
    </w:r>
    <w:r>
      <w:rPr>
        <w:rStyle w:val="21"/>
      </w:rPr>
      <w:instrText xml:space="preserve">PAGE  </w:instrText>
    </w:r>
    <w:r>
      <w:rPr>
        <w:rStyle w:val="21"/>
      </w:rPr>
      <w:fldChar w:fldCharType="end"/>
    </w:r>
  </w:p>
  <w:p w14:paraId="2903D96F">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86C48">
    <w:pPr>
      <w:pStyle w:val="11"/>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t>- 52 -</w:t>
    </w:r>
    <w:r>
      <w:rPr>
        <w:rStyle w:val="21"/>
      </w:rPr>
      <w:fldChar w:fldCharType="end"/>
    </w:r>
  </w:p>
  <w:p w14:paraId="5BCA870C">
    <w:pPr>
      <w:pStyle w:val="11"/>
      <w:rPr>
        <w:rFonts w:ascii="仿宋_GB2312" w:eastAsia="仿宋_GB2312"/>
        <w:sz w:val="21"/>
        <w:szCs w:val="21"/>
      </w:rPr>
    </w:pPr>
    <w:r>
      <w:rPr>
        <w:rFonts w:ascii="仿宋_GB2312" w:eastAsia="仿宋_GB2312"/>
        <w:sz w:val="21"/>
        <w:szCs w:val="21"/>
      </w:rPr>
      <mc:AlternateContent>
        <mc:Choice Requires="wps">
          <w:drawing>
            <wp:anchor distT="0" distB="0" distL="114300" distR="114300" simplePos="0" relativeHeight="251662336" behindDoc="0" locked="0" layoutInCell="1" allowOverlap="1">
              <wp:simplePos x="0" y="0"/>
              <wp:positionH relativeFrom="column">
                <wp:posOffset>52070</wp:posOffset>
              </wp:positionH>
              <wp:positionV relativeFrom="paragraph">
                <wp:posOffset>227965</wp:posOffset>
              </wp:positionV>
              <wp:extent cx="5857875" cy="635"/>
              <wp:effectExtent l="9525" t="8890" r="9525" b="9525"/>
              <wp:wrapNone/>
              <wp:docPr id="950049735" name="Line 15"/>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line">
                        <a:avLst/>
                      </a:prstGeom>
                      <a:noFill/>
                      <a:ln w="9525">
                        <a:solidFill>
                          <a:srgbClr val="000000"/>
                        </a:solidFill>
                        <a:round/>
                      </a:ln>
                    </wps:spPr>
                    <wps:bodyPr/>
                  </wps:wsp>
                </a:graphicData>
              </a:graphic>
            </wp:anchor>
          </w:drawing>
        </mc:Choice>
        <mc:Fallback>
          <w:pict>
            <v:line id="Line 15" o:spid="_x0000_s1026" o:spt="20" style="position:absolute;left:0pt;margin-left:4.1pt;margin-top:17.95pt;height:0.05pt;width:461.25pt;z-index:251662336;mso-width-relative:page;mso-height-relative:page;" filled="f" stroked="t" coordsize="21600,21600" o:gfxdata="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Tu0Mt1QAAAAcBAAAPAAAAAAAAAAEAIAAAACIA&#10;AABkcnMvZG93bnJldi54bWxQSwECFAAUAAAACACHTuJARJD3ENMBAACqAwAADgAAAAAAAAABACAA&#10;AAAkAQAAZHJzL2Uyb0RvYy54bWxQSwUGAAAAAAYABgBZAQAAaQUAAAAA&#10;">
              <v:fill on="f" focussize="0,0"/>
              <v:stroke color="#000000" joinstyle="round"/>
              <v:imagedata o:title=""/>
              <o:lock v:ext="edit" aspectratio="f"/>
            </v:line>
          </w:pict>
        </mc:Fallback>
      </mc:AlternateContent>
    </w:r>
    <w:r>
      <w:rPr>
        <w:rFonts w:hint="eastAsia" w:ascii="仿宋_GB2312" w:eastAsia="仿宋_GB2312"/>
        <w:sz w:val="21"/>
        <w:szCs w:val="21"/>
      </w:rPr>
      <w:t xml:space="preserve">   </w:t>
    </w:r>
  </w:p>
  <w:p w14:paraId="561A103D">
    <w:pPr>
      <w:pStyle w:val="11"/>
      <w:jc w:val="right"/>
      <w:rPr>
        <w:rFonts w:ascii="仿宋_GB2312" w:eastAsia="仿宋_GB2312"/>
        <w:sz w:val="21"/>
        <w:szCs w:val="21"/>
      </w:rPr>
    </w:pPr>
    <w:r>
      <w:rPr>
        <w:rFonts w:ascii="仿宋_GB2312" w:eastAsia="仿宋_GB2312"/>
        <w:sz w:val="21"/>
        <w:szCs w:val="21"/>
      </w:rPr>
      <mc:AlternateContent>
        <mc:Choice Requires="wps">
          <w:drawing>
            <wp:anchor distT="0" distB="0" distL="114300" distR="114300" simplePos="0" relativeHeight="251661312" behindDoc="0" locked="0" layoutInCell="1" allowOverlap="1">
              <wp:simplePos x="0" y="0"/>
              <wp:positionH relativeFrom="column">
                <wp:posOffset>-13970</wp:posOffset>
              </wp:positionH>
              <wp:positionV relativeFrom="paragraph">
                <wp:posOffset>3018790</wp:posOffset>
              </wp:positionV>
              <wp:extent cx="8086725" cy="218440"/>
              <wp:effectExtent l="10160" t="13970" r="8890" b="5715"/>
              <wp:wrapNone/>
              <wp:docPr id="1234172119" name="Line 14"/>
              <wp:cNvGraphicFramePr/>
              <a:graphic xmlns:a="http://schemas.openxmlformats.org/drawingml/2006/main">
                <a:graphicData uri="http://schemas.microsoft.com/office/word/2010/wordprocessingShape">
                  <wps:wsp>
                    <wps:cNvCnPr>
                      <a:cxnSpLocks noChangeShapeType="1"/>
                    </wps:cNvCnPr>
                    <wps:spPr bwMode="auto">
                      <a:xfrm>
                        <a:off x="0" y="0"/>
                        <a:ext cx="8086725" cy="218440"/>
                      </a:xfrm>
                      <a:prstGeom prst="line">
                        <a:avLst/>
                      </a:prstGeom>
                      <a:noFill/>
                      <a:ln w="9525">
                        <a:solidFill>
                          <a:srgbClr val="000000"/>
                        </a:solidFill>
                        <a:round/>
                      </a:ln>
                    </wps:spPr>
                    <wps:bodyPr/>
                  </wps:wsp>
                </a:graphicData>
              </a:graphic>
            </wp:anchor>
          </w:drawing>
        </mc:Choice>
        <mc:Fallback>
          <w:pict>
            <v:line id="Line 14" o:spid="_x0000_s1026" o:spt="20" style="position:absolute;left:0pt;margin-left:-1.1pt;margin-top:237.7pt;height:17.2pt;width:636.75pt;z-index:251661312;mso-width-relative:page;mso-height-relative:page;" filled="f" stroked="t" coordsize="21600,21600" o:gfxdata="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LBAb5NkAAAALAQAADwAAAAAAAAAB&#10;ACAAAAAiAAAAZHJzL2Rvd25yZXYueG1sUEsBAhQAFAAAAAgAh07iQDIG60vWAQAArgMAAA4AAAAA&#10;AAAAAQAgAAAAKAEAAGRycy9lMm9Eb2MueG1sUEsFBgAAAAAGAAYAWQEAAHAFAAAAAA==&#10;">
              <v:fill on="f" focussize="0,0"/>
              <v:stroke color="#000000" joinstyle="round"/>
              <v:imagedata o:title=""/>
              <o:lock v:ext="edit" aspectratio="f"/>
            </v:line>
          </w:pict>
        </mc:Fallback>
      </mc:AlternateContent>
    </w:r>
    <w:r>
      <w:rPr>
        <w:rFonts w:hint="eastAsia" w:ascii="仿宋_GB2312" w:eastAsia="仿宋_GB2312"/>
        <w:sz w:val="21"/>
        <w:szCs w:val="21"/>
      </w:rPr>
      <w:t>地址：大连市甘井子区泉水A4区43A号建设控股大厦306室</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E289B">
    <w:pPr>
      <w:pStyle w:val="12"/>
      <w:jc w:val="left"/>
      <w:rPr>
        <w:sz w:val="21"/>
        <w:szCs w:val="21"/>
      </w:rPr>
    </w:pPr>
    <w:r>
      <w:rPr>
        <w:rFonts w:hint="eastAsia"/>
        <w:sz w:val="21"/>
        <w:szCs w:val="21"/>
      </w:rPr>
      <w:t xml:space="preserve">辽宁和泰项目管理有限公司                                                                        HTZB20250423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298FB">
    <w:pPr>
      <w:pStyle w:val="12"/>
      <w:jc w:val="left"/>
      <w:rPr>
        <w:sz w:val="21"/>
        <w:szCs w:val="21"/>
      </w:rPr>
    </w:pPr>
    <w:r>
      <w:rPr>
        <w:rFonts w:hint="eastAsia"/>
        <w:sz w:val="21"/>
        <w:szCs w:val="21"/>
      </w:rPr>
      <w:t xml:space="preserve">辽宁和泰项目管理有限公司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5D380">
    <w:pPr>
      <w:pStyle w:val="12"/>
      <w:jc w:val="left"/>
      <w:rPr>
        <w:sz w:val="21"/>
        <w:szCs w:val="21"/>
      </w:rPr>
    </w:pPr>
    <w:r>
      <w:rPr>
        <w:rFonts w:hint="eastAsia"/>
        <w:sz w:val="21"/>
        <w:szCs w:val="21"/>
      </w:rPr>
      <w:t xml:space="preserve">辽宁和泰项目管理有限公司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56C645"/>
    <w:multiLevelType w:val="singleLevel"/>
    <w:tmpl w:val="8756C645"/>
    <w:lvl w:ilvl="0" w:tentative="0">
      <w:start w:val="1"/>
      <w:numFmt w:val="decimal"/>
      <w:suff w:val="nothing"/>
      <w:lvlText w:val="%1、"/>
      <w:lvlJc w:val="left"/>
    </w:lvl>
  </w:abstractNum>
  <w:abstractNum w:abstractNumId="1">
    <w:nsid w:val="8FD03735"/>
    <w:multiLevelType w:val="singleLevel"/>
    <w:tmpl w:val="8FD03735"/>
    <w:lvl w:ilvl="0" w:tentative="0">
      <w:start w:val="5"/>
      <w:numFmt w:val="decimal"/>
      <w:suff w:val="nothing"/>
      <w:lvlText w:val="（%1）"/>
      <w:lvlJc w:val="left"/>
    </w:lvl>
  </w:abstractNum>
  <w:abstractNum w:abstractNumId="2">
    <w:nsid w:val="DFDA3D89"/>
    <w:multiLevelType w:val="singleLevel"/>
    <w:tmpl w:val="DFDA3D89"/>
    <w:lvl w:ilvl="0" w:tentative="0">
      <w:start w:val="2"/>
      <w:numFmt w:val="chineseCounting"/>
      <w:suff w:val="nothing"/>
      <w:lvlText w:val="%1、"/>
      <w:lvlJc w:val="left"/>
      <w:rPr>
        <w:rFonts w:hint="eastAsia"/>
      </w:rPr>
    </w:lvl>
  </w:abstractNum>
  <w:abstractNum w:abstractNumId="3">
    <w:nsid w:val="067BE3BE"/>
    <w:multiLevelType w:val="singleLevel"/>
    <w:tmpl w:val="067BE3BE"/>
    <w:lvl w:ilvl="0" w:tentative="0">
      <w:start w:val="1"/>
      <w:numFmt w:val="decimal"/>
      <w:lvlText w:val="%1."/>
      <w:lvlJc w:val="left"/>
      <w:pPr>
        <w:tabs>
          <w:tab w:val="left" w:pos="312"/>
        </w:tabs>
      </w:pPr>
    </w:lvl>
  </w:abstractNum>
  <w:abstractNum w:abstractNumId="4">
    <w:nsid w:val="18651456"/>
    <w:multiLevelType w:val="singleLevel"/>
    <w:tmpl w:val="18651456"/>
    <w:lvl w:ilvl="0" w:tentative="0">
      <w:start w:val="1"/>
      <w:numFmt w:val="decimal"/>
      <w:lvlText w:val="%1．"/>
      <w:lvlJc w:val="left"/>
      <w:pPr>
        <w:tabs>
          <w:tab w:val="left" w:pos="360"/>
        </w:tabs>
        <w:ind w:left="360" w:hanging="360"/>
      </w:pPr>
      <w:rPr>
        <w:rFonts w:hint="eastAsia"/>
      </w:rPr>
    </w:lvl>
  </w:abstractNum>
  <w:abstractNum w:abstractNumId="5">
    <w:nsid w:val="3913473F"/>
    <w:multiLevelType w:val="multilevel"/>
    <w:tmpl w:val="3913473F"/>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2"/>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footnotePr>
    <w:footnote w:id="0"/>
    <w:footnote w:id="1"/>
  </w:footnotePr>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c5MzdlY2ZkOWZhNTJkN2FjOGYwNTQ4YTQ2OTZmYzMifQ=="/>
  </w:docVars>
  <w:rsids>
    <w:rsidRoot w:val="00D31D50"/>
    <w:rsid w:val="0000049A"/>
    <w:rsid w:val="0001579B"/>
    <w:rsid w:val="00020211"/>
    <w:rsid w:val="0002033A"/>
    <w:rsid w:val="000208F0"/>
    <w:rsid w:val="000219ED"/>
    <w:rsid w:val="00023146"/>
    <w:rsid w:val="000263B9"/>
    <w:rsid w:val="000327AD"/>
    <w:rsid w:val="00033CBF"/>
    <w:rsid w:val="00034E91"/>
    <w:rsid w:val="000374D1"/>
    <w:rsid w:val="0003792D"/>
    <w:rsid w:val="000401DC"/>
    <w:rsid w:val="00040FA9"/>
    <w:rsid w:val="00041934"/>
    <w:rsid w:val="00041F49"/>
    <w:rsid w:val="00046C35"/>
    <w:rsid w:val="00046F07"/>
    <w:rsid w:val="000504F0"/>
    <w:rsid w:val="00052A98"/>
    <w:rsid w:val="0005429D"/>
    <w:rsid w:val="00055DD4"/>
    <w:rsid w:val="0006048F"/>
    <w:rsid w:val="00070131"/>
    <w:rsid w:val="000714C1"/>
    <w:rsid w:val="00071A08"/>
    <w:rsid w:val="000769B3"/>
    <w:rsid w:val="00080FCC"/>
    <w:rsid w:val="00082543"/>
    <w:rsid w:val="00085D9F"/>
    <w:rsid w:val="00090669"/>
    <w:rsid w:val="00090A13"/>
    <w:rsid w:val="00092238"/>
    <w:rsid w:val="00096E0C"/>
    <w:rsid w:val="000A244C"/>
    <w:rsid w:val="000B044C"/>
    <w:rsid w:val="000B0492"/>
    <w:rsid w:val="000B27D4"/>
    <w:rsid w:val="000B43BF"/>
    <w:rsid w:val="000B655E"/>
    <w:rsid w:val="000C58F0"/>
    <w:rsid w:val="000D6670"/>
    <w:rsid w:val="000D6FAA"/>
    <w:rsid w:val="000F3750"/>
    <w:rsid w:val="000F5774"/>
    <w:rsid w:val="000F5AAF"/>
    <w:rsid w:val="001051FF"/>
    <w:rsid w:val="001109B3"/>
    <w:rsid w:val="00115E94"/>
    <w:rsid w:val="001163F4"/>
    <w:rsid w:val="001229F3"/>
    <w:rsid w:val="00123FCA"/>
    <w:rsid w:val="001264F0"/>
    <w:rsid w:val="001350DD"/>
    <w:rsid w:val="00137454"/>
    <w:rsid w:val="001412C8"/>
    <w:rsid w:val="001419F8"/>
    <w:rsid w:val="00144824"/>
    <w:rsid w:val="00152974"/>
    <w:rsid w:val="00156A23"/>
    <w:rsid w:val="00164C23"/>
    <w:rsid w:val="00165437"/>
    <w:rsid w:val="001676C2"/>
    <w:rsid w:val="00167CEA"/>
    <w:rsid w:val="001718F2"/>
    <w:rsid w:val="00174F0F"/>
    <w:rsid w:val="00175F16"/>
    <w:rsid w:val="00176DD0"/>
    <w:rsid w:val="0018083E"/>
    <w:rsid w:val="001842C9"/>
    <w:rsid w:val="001865F5"/>
    <w:rsid w:val="001875BF"/>
    <w:rsid w:val="001911C8"/>
    <w:rsid w:val="00191509"/>
    <w:rsid w:val="001A3EC1"/>
    <w:rsid w:val="001A6318"/>
    <w:rsid w:val="001B20E1"/>
    <w:rsid w:val="001B3D43"/>
    <w:rsid w:val="001B3F2E"/>
    <w:rsid w:val="001B4CC6"/>
    <w:rsid w:val="001B5EF2"/>
    <w:rsid w:val="001B6EBD"/>
    <w:rsid w:val="001B7506"/>
    <w:rsid w:val="001C2E6E"/>
    <w:rsid w:val="001C502E"/>
    <w:rsid w:val="001C6C12"/>
    <w:rsid w:val="001C7F04"/>
    <w:rsid w:val="001D0ED2"/>
    <w:rsid w:val="001E0928"/>
    <w:rsid w:val="001E1514"/>
    <w:rsid w:val="001E3996"/>
    <w:rsid w:val="001E72E7"/>
    <w:rsid w:val="001F081A"/>
    <w:rsid w:val="001F46D3"/>
    <w:rsid w:val="0020154E"/>
    <w:rsid w:val="002019E3"/>
    <w:rsid w:val="00206D95"/>
    <w:rsid w:val="002101BD"/>
    <w:rsid w:val="00215B09"/>
    <w:rsid w:val="0021643D"/>
    <w:rsid w:val="00216EB4"/>
    <w:rsid w:val="00216F7F"/>
    <w:rsid w:val="00225EA8"/>
    <w:rsid w:val="0022683B"/>
    <w:rsid w:val="00227C9E"/>
    <w:rsid w:val="00231D4E"/>
    <w:rsid w:val="00232879"/>
    <w:rsid w:val="00236AE0"/>
    <w:rsid w:val="00244D4B"/>
    <w:rsid w:val="00246DB6"/>
    <w:rsid w:val="00250909"/>
    <w:rsid w:val="00251BC7"/>
    <w:rsid w:val="00254124"/>
    <w:rsid w:val="002600B1"/>
    <w:rsid w:val="00264991"/>
    <w:rsid w:val="0026628B"/>
    <w:rsid w:val="00272596"/>
    <w:rsid w:val="00272AC2"/>
    <w:rsid w:val="00283F2E"/>
    <w:rsid w:val="002912CE"/>
    <w:rsid w:val="0029222E"/>
    <w:rsid w:val="00292787"/>
    <w:rsid w:val="002A1C1F"/>
    <w:rsid w:val="002A254E"/>
    <w:rsid w:val="002A33BC"/>
    <w:rsid w:val="002A3EFA"/>
    <w:rsid w:val="002A75BC"/>
    <w:rsid w:val="002A7A69"/>
    <w:rsid w:val="002B4904"/>
    <w:rsid w:val="002B4FB0"/>
    <w:rsid w:val="002B5F9F"/>
    <w:rsid w:val="002C0C66"/>
    <w:rsid w:val="002C10E8"/>
    <w:rsid w:val="002C1E48"/>
    <w:rsid w:val="002C32F9"/>
    <w:rsid w:val="002C4AF8"/>
    <w:rsid w:val="002C5F68"/>
    <w:rsid w:val="002C7DB8"/>
    <w:rsid w:val="002E1F1F"/>
    <w:rsid w:val="002E68F1"/>
    <w:rsid w:val="002E691E"/>
    <w:rsid w:val="002E7D9C"/>
    <w:rsid w:val="00300549"/>
    <w:rsid w:val="0030073C"/>
    <w:rsid w:val="003113A1"/>
    <w:rsid w:val="00311FAB"/>
    <w:rsid w:val="003122B1"/>
    <w:rsid w:val="00320955"/>
    <w:rsid w:val="0032216E"/>
    <w:rsid w:val="00322B76"/>
    <w:rsid w:val="00323B43"/>
    <w:rsid w:val="00325616"/>
    <w:rsid w:val="00326800"/>
    <w:rsid w:val="003303ED"/>
    <w:rsid w:val="00332A68"/>
    <w:rsid w:val="003335B3"/>
    <w:rsid w:val="00336DAB"/>
    <w:rsid w:val="00340634"/>
    <w:rsid w:val="00340A03"/>
    <w:rsid w:val="00342D0D"/>
    <w:rsid w:val="003445C0"/>
    <w:rsid w:val="00344EBF"/>
    <w:rsid w:val="00355B48"/>
    <w:rsid w:val="00360FD7"/>
    <w:rsid w:val="0036529D"/>
    <w:rsid w:val="00383A9A"/>
    <w:rsid w:val="00383DDB"/>
    <w:rsid w:val="00387C59"/>
    <w:rsid w:val="00391581"/>
    <w:rsid w:val="003943C2"/>
    <w:rsid w:val="00394A2C"/>
    <w:rsid w:val="00395E54"/>
    <w:rsid w:val="00396DC3"/>
    <w:rsid w:val="003A66B9"/>
    <w:rsid w:val="003A75FF"/>
    <w:rsid w:val="003B0925"/>
    <w:rsid w:val="003B2099"/>
    <w:rsid w:val="003B2675"/>
    <w:rsid w:val="003B4D15"/>
    <w:rsid w:val="003B5B56"/>
    <w:rsid w:val="003B6C20"/>
    <w:rsid w:val="003B76E0"/>
    <w:rsid w:val="003C4F8B"/>
    <w:rsid w:val="003C623D"/>
    <w:rsid w:val="003D11A9"/>
    <w:rsid w:val="003D2246"/>
    <w:rsid w:val="003D37D8"/>
    <w:rsid w:val="003D5FEC"/>
    <w:rsid w:val="003D68E3"/>
    <w:rsid w:val="003D700D"/>
    <w:rsid w:val="003E1106"/>
    <w:rsid w:val="003E1654"/>
    <w:rsid w:val="003E1888"/>
    <w:rsid w:val="003E3664"/>
    <w:rsid w:val="003E37EA"/>
    <w:rsid w:val="003E3FC5"/>
    <w:rsid w:val="003E7AE9"/>
    <w:rsid w:val="003F390C"/>
    <w:rsid w:val="004022B5"/>
    <w:rsid w:val="00404B6B"/>
    <w:rsid w:val="00411319"/>
    <w:rsid w:val="00422D53"/>
    <w:rsid w:val="00424D34"/>
    <w:rsid w:val="00426133"/>
    <w:rsid w:val="004327D9"/>
    <w:rsid w:val="004342B8"/>
    <w:rsid w:val="004358AB"/>
    <w:rsid w:val="0044420E"/>
    <w:rsid w:val="00445E48"/>
    <w:rsid w:val="00455F07"/>
    <w:rsid w:val="00460E92"/>
    <w:rsid w:val="00464075"/>
    <w:rsid w:val="00471B6F"/>
    <w:rsid w:val="004724C5"/>
    <w:rsid w:val="00473676"/>
    <w:rsid w:val="00475D42"/>
    <w:rsid w:val="00476287"/>
    <w:rsid w:val="00490867"/>
    <w:rsid w:val="004917C4"/>
    <w:rsid w:val="0049303A"/>
    <w:rsid w:val="004A10D5"/>
    <w:rsid w:val="004A115E"/>
    <w:rsid w:val="004A29A4"/>
    <w:rsid w:val="004A2D85"/>
    <w:rsid w:val="004A3A4B"/>
    <w:rsid w:val="004B3584"/>
    <w:rsid w:val="004B36C5"/>
    <w:rsid w:val="004B4512"/>
    <w:rsid w:val="004B6C81"/>
    <w:rsid w:val="004C0595"/>
    <w:rsid w:val="004C06BD"/>
    <w:rsid w:val="004C0CE2"/>
    <w:rsid w:val="004C2424"/>
    <w:rsid w:val="004C5005"/>
    <w:rsid w:val="004C7614"/>
    <w:rsid w:val="004D0860"/>
    <w:rsid w:val="004D1A24"/>
    <w:rsid w:val="004D5514"/>
    <w:rsid w:val="004E5085"/>
    <w:rsid w:val="004F68CC"/>
    <w:rsid w:val="0050369A"/>
    <w:rsid w:val="00503F77"/>
    <w:rsid w:val="005068D3"/>
    <w:rsid w:val="00512350"/>
    <w:rsid w:val="00514C81"/>
    <w:rsid w:val="00514FE4"/>
    <w:rsid w:val="0052336F"/>
    <w:rsid w:val="0052464C"/>
    <w:rsid w:val="005273A0"/>
    <w:rsid w:val="00527542"/>
    <w:rsid w:val="00532C29"/>
    <w:rsid w:val="00536043"/>
    <w:rsid w:val="00536AE0"/>
    <w:rsid w:val="005417A7"/>
    <w:rsid w:val="00542DF5"/>
    <w:rsid w:val="00542F19"/>
    <w:rsid w:val="00544C02"/>
    <w:rsid w:val="00551350"/>
    <w:rsid w:val="0057125C"/>
    <w:rsid w:val="005770B1"/>
    <w:rsid w:val="00580585"/>
    <w:rsid w:val="0058151C"/>
    <w:rsid w:val="00584868"/>
    <w:rsid w:val="0058570F"/>
    <w:rsid w:val="00590C91"/>
    <w:rsid w:val="00591E6F"/>
    <w:rsid w:val="005A01FA"/>
    <w:rsid w:val="005A6395"/>
    <w:rsid w:val="005A64A6"/>
    <w:rsid w:val="005A734A"/>
    <w:rsid w:val="005B0BE9"/>
    <w:rsid w:val="005B2D3F"/>
    <w:rsid w:val="005B5DA3"/>
    <w:rsid w:val="005C048B"/>
    <w:rsid w:val="005C31AC"/>
    <w:rsid w:val="005C4D7F"/>
    <w:rsid w:val="005C7027"/>
    <w:rsid w:val="005D097C"/>
    <w:rsid w:val="005D329C"/>
    <w:rsid w:val="005D5BC1"/>
    <w:rsid w:val="005F158A"/>
    <w:rsid w:val="005F28A1"/>
    <w:rsid w:val="005F2B95"/>
    <w:rsid w:val="005F2E09"/>
    <w:rsid w:val="005F3FD2"/>
    <w:rsid w:val="005F6C1B"/>
    <w:rsid w:val="005F756C"/>
    <w:rsid w:val="0060026C"/>
    <w:rsid w:val="00601190"/>
    <w:rsid w:val="00602A55"/>
    <w:rsid w:val="00602C7E"/>
    <w:rsid w:val="00605B79"/>
    <w:rsid w:val="00607E06"/>
    <w:rsid w:val="00612986"/>
    <w:rsid w:val="006133BB"/>
    <w:rsid w:val="00615881"/>
    <w:rsid w:val="00622630"/>
    <w:rsid w:val="00622834"/>
    <w:rsid w:val="00625CC7"/>
    <w:rsid w:val="00625F2B"/>
    <w:rsid w:val="00631327"/>
    <w:rsid w:val="00632461"/>
    <w:rsid w:val="0063466D"/>
    <w:rsid w:val="006424A1"/>
    <w:rsid w:val="00644918"/>
    <w:rsid w:val="006466A0"/>
    <w:rsid w:val="00651876"/>
    <w:rsid w:val="00651C96"/>
    <w:rsid w:val="00653758"/>
    <w:rsid w:val="00655CCB"/>
    <w:rsid w:val="00656498"/>
    <w:rsid w:val="00662EE3"/>
    <w:rsid w:val="0066303E"/>
    <w:rsid w:val="006656CB"/>
    <w:rsid w:val="00673170"/>
    <w:rsid w:val="00674D59"/>
    <w:rsid w:val="006752BA"/>
    <w:rsid w:val="00675A72"/>
    <w:rsid w:val="00675BC0"/>
    <w:rsid w:val="00676018"/>
    <w:rsid w:val="00680F45"/>
    <w:rsid w:val="00683EDD"/>
    <w:rsid w:val="006846C8"/>
    <w:rsid w:val="00684A55"/>
    <w:rsid w:val="00684B7F"/>
    <w:rsid w:val="00686500"/>
    <w:rsid w:val="0068736A"/>
    <w:rsid w:val="00694685"/>
    <w:rsid w:val="006A1304"/>
    <w:rsid w:val="006A60F0"/>
    <w:rsid w:val="006A6C15"/>
    <w:rsid w:val="006A789C"/>
    <w:rsid w:val="006B68C0"/>
    <w:rsid w:val="006B7727"/>
    <w:rsid w:val="006C10B4"/>
    <w:rsid w:val="006C2DD2"/>
    <w:rsid w:val="006C3827"/>
    <w:rsid w:val="006C3D4D"/>
    <w:rsid w:val="006C6CAC"/>
    <w:rsid w:val="006D112E"/>
    <w:rsid w:val="006D1440"/>
    <w:rsid w:val="006D2E17"/>
    <w:rsid w:val="006D72E5"/>
    <w:rsid w:val="006E5B1E"/>
    <w:rsid w:val="006E6159"/>
    <w:rsid w:val="006F0823"/>
    <w:rsid w:val="006F3E4B"/>
    <w:rsid w:val="00711833"/>
    <w:rsid w:val="0071250A"/>
    <w:rsid w:val="00717407"/>
    <w:rsid w:val="00725B60"/>
    <w:rsid w:val="0072749D"/>
    <w:rsid w:val="00732D82"/>
    <w:rsid w:val="007366BF"/>
    <w:rsid w:val="00736AA1"/>
    <w:rsid w:val="00736B2A"/>
    <w:rsid w:val="007376FF"/>
    <w:rsid w:val="00741E09"/>
    <w:rsid w:val="00742132"/>
    <w:rsid w:val="00746407"/>
    <w:rsid w:val="00747452"/>
    <w:rsid w:val="00747FD7"/>
    <w:rsid w:val="00752A50"/>
    <w:rsid w:val="0075304D"/>
    <w:rsid w:val="00755F45"/>
    <w:rsid w:val="007605B6"/>
    <w:rsid w:val="00760FA3"/>
    <w:rsid w:val="00761731"/>
    <w:rsid w:val="00762AFB"/>
    <w:rsid w:val="00767A36"/>
    <w:rsid w:val="00782F71"/>
    <w:rsid w:val="0078589A"/>
    <w:rsid w:val="00787CF7"/>
    <w:rsid w:val="007916F9"/>
    <w:rsid w:val="00793215"/>
    <w:rsid w:val="00793284"/>
    <w:rsid w:val="007A6278"/>
    <w:rsid w:val="007A70BC"/>
    <w:rsid w:val="007B2659"/>
    <w:rsid w:val="007B2B7E"/>
    <w:rsid w:val="007B5D3D"/>
    <w:rsid w:val="007C00E4"/>
    <w:rsid w:val="007C1554"/>
    <w:rsid w:val="007C55B8"/>
    <w:rsid w:val="007C5A3B"/>
    <w:rsid w:val="007C6410"/>
    <w:rsid w:val="007C7144"/>
    <w:rsid w:val="007D303F"/>
    <w:rsid w:val="007D3579"/>
    <w:rsid w:val="007D3D21"/>
    <w:rsid w:val="007D490F"/>
    <w:rsid w:val="007E3A7F"/>
    <w:rsid w:val="007E5137"/>
    <w:rsid w:val="007E7927"/>
    <w:rsid w:val="007F0002"/>
    <w:rsid w:val="007F01EE"/>
    <w:rsid w:val="007F47F9"/>
    <w:rsid w:val="007F4D89"/>
    <w:rsid w:val="007F776B"/>
    <w:rsid w:val="00801630"/>
    <w:rsid w:val="0080795B"/>
    <w:rsid w:val="008126FD"/>
    <w:rsid w:val="0081318B"/>
    <w:rsid w:val="008178EE"/>
    <w:rsid w:val="00817DCF"/>
    <w:rsid w:val="008204BF"/>
    <w:rsid w:val="00831378"/>
    <w:rsid w:val="00832DAB"/>
    <w:rsid w:val="00832DEC"/>
    <w:rsid w:val="00836F45"/>
    <w:rsid w:val="008418EE"/>
    <w:rsid w:val="008422CE"/>
    <w:rsid w:val="00850397"/>
    <w:rsid w:val="00853F87"/>
    <w:rsid w:val="00856440"/>
    <w:rsid w:val="00863A21"/>
    <w:rsid w:val="0086712B"/>
    <w:rsid w:val="00876A7C"/>
    <w:rsid w:val="00877E69"/>
    <w:rsid w:val="00883348"/>
    <w:rsid w:val="008847BC"/>
    <w:rsid w:val="0088576B"/>
    <w:rsid w:val="00887A73"/>
    <w:rsid w:val="00893ACD"/>
    <w:rsid w:val="00893D6D"/>
    <w:rsid w:val="008962F0"/>
    <w:rsid w:val="008A06C7"/>
    <w:rsid w:val="008A2156"/>
    <w:rsid w:val="008A21A1"/>
    <w:rsid w:val="008A3F8A"/>
    <w:rsid w:val="008B09A8"/>
    <w:rsid w:val="008B12FF"/>
    <w:rsid w:val="008B1889"/>
    <w:rsid w:val="008B310B"/>
    <w:rsid w:val="008B7707"/>
    <w:rsid w:val="008B7726"/>
    <w:rsid w:val="008C146C"/>
    <w:rsid w:val="008C6AEA"/>
    <w:rsid w:val="008D0F11"/>
    <w:rsid w:val="008D0FC2"/>
    <w:rsid w:val="008D4A2C"/>
    <w:rsid w:val="008D5C0E"/>
    <w:rsid w:val="008E4123"/>
    <w:rsid w:val="008E61C7"/>
    <w:rsid w:val="008E67FA"/>
    <w:rsid w:val="008F3BAF"/>
    <w:rsid w:val="008F4C05"/>
    <w:rsid w:val="008F62BF"/>
    <w:rsid w:val="008F7075"/>
    <w:rsid w:val="00901BF4"/>
    <w:rsid w:val="00903C74"/>
    <w:rsid w:val="00906A35"/>
    <w:rsid w:val="00907097"/>
    <w:rsid w:val="0091067F"/>
    <w:rsid w:val="00914CE3"/>
    <w:rsid w:val="00916E4F"/>
    <w:rsid w:val="00917A01"/>
    <w:rsid w:val="00920941"/>
    <w:rsid w:val="009237A1"/>
    <w:rsid w:val="00927BD5"/>
    <w:rsid w:val="00930A37"/>
    <w:rsid w:val="00931A34"/>
    <w:rsid w:val="00933B8B"/>
    <w:rsid w:val="00933D5B"/>
    <w:rsid w:val="0093528B"/>
    <w:rsid w:val="00936B49"/>
    <w:rsid w:val="0094012A"/>
    <w:rsid w:val="009407F6"/>
    <w:rsid w:val="0094092B"/>
    <w:rsid w:val="0094176A"/>
    <w:rsid w:val="009466A6"/>
    <w:rsid w:val="00947FD5"/>
    <w:rsid w:val="0095269D"/>
    <w:rsid w:val="009567B2"/>
    <w:rsid w:val="009573D0"/>
    <w:rsid w:val="00960B27"/>
    <w:rsid w:val="00962F11"/>
    <w:rsid w:val="009637D5"/>
    <w:rsid w:val="009670A0"/>
    <w:rsid w:val="00970722"/>
    <w:rsid w:val="0097232A"/>
    <w:rsid w:val="00976FCD"/>
    <w:rsid w:val="00977EAA"/>
    <w:rsid w:val="009905A3"/>
    <w:rsid w:val="00991F7C"/>
    <w:rsid w:val="00994E18"/>
    <w:rsid w:val="00995CCD"/>
    <w:rsid w:val="0099754B"/>
    <w:rsid w:val="009C10F7"/>
    <w:rsid w:val="009C1BFF"/>
    <w:rsid w:val="009D48B2"/>
    <w:rsid w:val="009D6D74"/>
    <w:rsid w:val="009E1BF8"/>
    <w:rsid w:val="009E2DCC"/>
    <w:rsid w:val="009E3CCB"/>
    <w:rsid w:val="009E3D61"/>
    <w:rsid w:val="009E6BCF"/>
    <w:rsid w:val="009F6A18"/>
    <w:rsid w:val="00A064F8"/>
    <w:rsid w:val="00A0668F"/>
    <w:rsid w:val="00A1465E"/>
    <w:rsid w:val="00A147D0"/>
    <w:rsid w:val="00A20027"/>
    <w:rsid w:val="00A20625"/>
    <w:rsid w:val="00A24F6F"/>
    <w:rsid w:val="00A32643"/>
    <w:rsid w:val="00A32AA6"/>
    <w:rsid w:val="00A337FB"/>
    <w:rsid w:val="00A355D9"/>
    <w:rsid w:val="00A41E5F"/>
    <w:rsid w:val="00A44797"/>
    <w:rsid w:val="00A50981"/>
    <w:rsid w:val="00A51F1F"/>
    <w:rsid w:val="00A575CC"/>
    <w:rsid w:val="00A600C0"/>
    <w:rsid w:val="00A61EFE"/>
    <w:rsid w:val="00A663F9"/>
    <w:rsid w:val="00A73597"/>
    <w:rsid w:val="00A74ADC"/>
    <w:rsid w:val="00A750B1"/>
    <w:rsid w:val="00A75E8C"/>
    <w:rsid w:val="00A765EE"/>
    <w:rsid w:val="00A80F59"/>
    <w:rsid w:val="00A835AB"/>
    <w:rsid w:val="00A846DB"/>
    <w:rsid w:val="00A849ED"/>
    <w:rsid w:val="00A95175"/>
    <w:rsid w:val="00A962AC"/>
    <w:rsid w:val="00AA445C"/>
    <w:rsid w:val="00AA67BA"/>
    <w:rsid w:val="00AB3099"/>
    <w:rsid w:val="00AB3BD5"/>
    <w:rsid w:val="00AC15C1"/>
    <w:rsid w:val="00AC2A62"/>
    <w:rsid w:val="00AC37CE"/>
    <w:rsid w:val="00AC4362"/>
    <w:rsid w:val="00AD0200"/>
    <w:rsid w:val="00AD5BF1"/>
    <w:rsid w:val="00AD7D74"/>
    <w:rsid w:val="00AE7469"/>
    <w:rsid w:val="00AE7E8B"/>
    <w:rsid w:val="00AF0BB1"/>
    <w:rsid w:val="00B00DDC"/>
    <w:rsid w:val="00B02322"/>
    <w:rsid w:val="00B02D51"/>
    <w:rsid w:val="00B0495B"/>
    <w:rsid w:val="00B24A50"/>
    <w:rsid w:val="00B260AC"/>
    <w:rsid w:val="00B27415"/>
    <w:rsid w:val="00B27E2F"/>
    <w:rsid w:val="00B3107E"/>
    <w:rsid w:val="00B37CA0"/>
    <w:rsid w:val="00B405E6"/>
    <w:rsid w:val="00B409CA"/>
    <w:rsid w:val="00B428E5"/>
    <w:rsid w:val="00B432CB"/>
    <w:rsid w:val="00B44A1D"/>
    <w:rsid w:val="00B47F17"/>
    <w:rsid w:val="00B53BE6"/>
    <w:rsid w:val="00B54288"/>
    <w:rsid w:val="00B54D14"/>
    <w:rsid w:val="00B55676"/>
    <w:rsid w:val="00B61953"/>
    <w:rsid w:val="00B67508"/>
    <w:rsid w:val="00B707A4"/>
    <w:rsid w:val="00B737D8"/>
    <w:rsid w:val="00B815DE"/>
    <w:rsid w:val="00B878A9"/>
    <w:rsid w:val="00B951B1"/>
    <w:rsid w:val="00B952E3"/>
    <w:rsid w:val="00B9654A"/>
    <w:rsid w:val="00B976F4"/>
    <w:rsid w:val="00BA2ACE"/>
    <w:rsid w:val="00BA4751"/>
    <w:rsid w:val="00BB08DB"/>
    <w:rsid w:val="00BB137D"/>
    <w:rsid w:val="00BB2F1A"/>
    <w:rsid w:val="00BB3342"/>
    <w:rsid w:val="00BB3C16"/>
    <w:rsid w:val="00BB3F69"/>
    <w:rsid w:val="00BB408F"/>
    <w:rsid w:val="00BB48D5"/>
    <w:rsid w:val="00BB4F25"/>
    <w:rsid w:val="00BC043D"/>
    <w:rsid w:val="00BC4A0B"/>
    <w:rsid w:val="00BE17BC"/>
    <w:rsid w:val="00BE3D41"/>
    <w:rsid w:val="00BE5030"/>
    <w:rsid w:val="00BE5B0E"/>
    <w:rsid w:val="00BE6A49"/>
    <w:rsid w:val="00BF2B04"/>
    <w:rsid w:val="00C00B1C"/>
    <w:rsid w:val="00C014ED"/>
    <w:rsid w:val="00C01698"/>
    <w:rsid w:val="00C02328"/>
    <w:rsid w:val="00C0509D"/>
    <w:rsid w:val="00C05AAC"/>
    <w:rsid w:val="00C11190"/>
    <w:rsid w:val="00C13380"/>
    <w:rsid w:val="00C134EE"/>
    <w:rsid w:val="00C20F33"/>
    <w:rsid w:val="00C21100"/>
    <w:rsid w:val="00C229D4"/>
    <w:rsid w:val="00C30F14"/>
    <w:rsid w:val="00C3328E"/>
    <w:rsid w:val="00C36948"/>
    <w:rsid w:val="00C41B54"/>
    <w:rsid w:val="00C4589F"/>
    <w:rsid w:val="00C46FD8"/>
    <w:rsid w:val="00C510D5"/>
    <w:rsid w:val="00C514BD"/>
    <w:rsid w:val="00C5222F"/>
    <w:rsid w:val="00C53F61"/>
    <w:rsid w:val="00C5665B"/>
    <w:rsid w:val="00C579B2"/>
    <w:rsid w:val="00C61273"/>
    <w:rsid w:val="00C62D7D"/>
    <w:rsid w:val="00C67919"/>
    <w:rsid w:val="00C77609"/>
    <w:rsid w:val="00C813F8"/>
    <w:rsid w:val="00C81905"/>
    <w:rsid w:val="00C853F6"/>
    <w:rsid w:val="00C91970"/>
    <w:rsid w:val="00C9693F"/>
    <w:rsid w:val="00C96A6F"/>
    <w:rsid w:val="00CA40D8"/>
    <w:rsid w:val="00CA4EDC"/>
    <w:rsid w:val="00CA65BF"/>
    <w:rsid w:val="00CB657D"/>
    <w:rsid w:val="00CC09BE"/>
    <w:rsid w:val="00CC1D8D"/>
    <w:rsid w:val="00CC4D1E"/>
    <w:rsid w:val="00CC5732"/>
    <w:rsid w:val="00CC6766"/>
    <w:rsid w:val="00CD1C63"/>
    <w:rsid w:val="00CD227B"/>
    <w:rsid w:val="00CD63EA"/>
    <w:rsid w:val="00CE771C"/>
    <w:rsid w:val="00CF1419"/>
    <w:rsid w:val="00CF1DA2"/>
    <w:rsid w:val="00CF23D9"/>
    <w:rsid w:val="00CF473A"/>
    <w:rsid w:val="00CF6AF8"/>
    <w:rsid w:val="00D00089"/>
    <w:rsid w:val="00D02C2C"/>
    <w:rsid w:val="00D04E33"/>
    <w:rsid w:val="00D11CF1"/>
    <w:rsid w:val="00D1269D"/>
    <w:rsid w:val="00D1662B"/>
    <w:rsid w:val="00D16BB0"/>
    <w:rsid w:val="00D2753D"/>
    <w:rsid w:val="00D31D50"/>
    <w:rsid w:val="00D3234B"/>
    <w:rsid w:val="00D33623"/>
    <w:rsid w:val="00D43025"/>
    <w:rsid w:val="00D5021E"/>
    <w:rsid w:val="00D54E87"/>
    <w:rsid w:val="00D569FD"/>
    <w:rsid w:val="00D57718"/>
    <w:rsid w:val="00D609B2"/>
    <w:rsid w:val="00D613D4"/>
    <w:rsid w:val="00D6642A"/>
    <w:rsid w:val="00D71F45"/>
    <w:rsid w:val="00D74550"/>
    <w:rsid w:val="00D77621"/>
    <w:rsid w:val="00D77F9D"/>
    <w:rsid w:val="00D8135E"/>
    <w:rsid w:val="00D81E38"/>
    <w:rsid w:val="00D87B32"/>
    <w:rsid w:val="00D94DA5"/>
    <w:rsid w:val="00DA4766"/>
    <w:rsid w:val="00DA5A2B"/>
    <w:rsid w:val="00DB0BE0"/>
    <w:rsid w:val="00DB5A76"/>
    <w:rsid w:val="00DB5DBB"/>
    <w:rsid w:val="00DB6321"/>
    <w:rsid w:val="00DC57EC"/>
    <w:rsid w:val="00DC6205"/>
    <w:rsid w:val="00DD1D71"/>
    <w:rsid w:val="00DD6154"/>
    <w:rsid w:val="00DE020E"/>
    <w:rsid w:val="00DE03A2"/>
    <w:rsid w:val="00DE0E7B"/>
    <w:rsid w:val="00DE2376"/>
    <w:rsid w:val="00DF2FD2"/>
    <w:rsid w:val="00DF33DD"/>
    <w:rsid w:val="00DF6F42"/>
    <w:rsid w:val="00DF7EBF"/>
    <w:rsid w:val="00E001E6"/>
    <w:rsid w:val="00E00A42"/>
    <w:rsid w:val="00E01193"/>
    <w:rsid w:val="00E06DF5"/>
    <w:rsid w:val="00E0738D"/>
    <w:rsid w:val="00E106EF"/>
    <w:rsid w:val="00E13C8D"/>
    <w:rsid w:val="00E17E01"/>
    <w:rsid w:val="00E21114"/>
    <w:rsid w:val="00E237A0"/>
    <w:rsid w:val="00E24A72"/>
    <w:rsid w:val="00E26CFC"/>
    <w:rsid w:val="00E27861"/>
    <w:rsid w:val="00E35C59"/>
    <w:rsid w:val="00E41073"/>
    <w:rsid w:val="00E4162F"/>
    <w:rsid w:val="00E4402E"/>
    <w:rsid w:val="00E473EA"/>
    <w:rsid w:val="00E52E84"/>
    <w:rsid w:val="00E634D1"/>
    <w:rsid w:val="00E67419"/>
    <w:rsid w:val="00E7159F"/>
    <w:rsid w:val="00E71990"/>
    <w:rsid w:val="00E723EF"/>
    <w:rsid w:val="00E819BD"/>
    <w:rsid w:val="00E81A98"/>
    <w:rsid w:val="00E83923"/>
    <w:rsid w:val="00E8731D"/>
    <w:rsid w:val="00E91349"/>
    <w:rsid w:val="00E94080"/>
    <w:rsid w:val="00E94BB8"/>
    <w:rsid w:val="00E96BB5"/>
    <w:rsid w:val="00EA1EAB"/>
    <w:rsid w:val="00EA2C86"/>
    <w:rsid w:val="00EA70D9"/>
    <w:rsid w:val="00EB063A"/>
    <w:rsid w:val="00EB0820"/>
    <w:rsid w:val="00EB1E02"/>
    <w:rsid w:val="00EB73BF"/>
    <w:rsid w:val="00EC21BA"/>
    <w:rsid w:val="00ED1D6E"/>
    <w:rsid w:val="00ED2316"/>
    <w:rsid w:val="00ED4C84"/>
    <w:rsid w:val="00ED5CE6"/>
    <w:rsid w:val="00ED5D43"/>
    <w:rsid w:val="00ED64DF"/>
    <w:rsid w:val="00EE2446"/>
    <w:rsid w:val="00EE4DEB"/>
    <w:rsid w:val="00EE53FF"/>
    <w:rsid w:val="00EE6BA9"/>
    <w:rsid w:val="00EF02BD"/>
    <w:rsid w:val="00EF160F"/>
    <w:rsid w:val="00EF2BF3"/>
    <w:rsid w:val="00EF4207"/>
    <w:rsid w:val="00F01964"/>
    <w:rsid w:val="00F01CE6"/>
    <w:rsid w:val="00F02ADC"/>
    <w:rsid w:val="00F0500C"/>
    <w:rsid w:val="00F10B47"/>
    <w:rsid w:val="00F13DF4"/>
    <w:rsid w:val="00F154D8"/>
    <w:rsid w:val="00F178FB"/>
    <w:rsid w:val="00F204EF"/>
    <w:rsid w:val="00F234C4"/>
    <w:rsid w:val="00F23CCC"/>
    <w:rsid w:val="00F23DFC"/>
    <w:rsid w:val="00F241EE"/>
    <w:rsid w:val="00F251F4"/>
    <w:rsid w:val="00F26F26"/>
    <w:rsid w:val="00F33532"/>
    <w:rsid w:val="00F37FE4"/>
    <w:rsid w:val="00F40D29"/>
    <w:rsid w:val="00F429B0"/>
    <w:rsid w:val="00F43DC8"/>
    <w:rsid w:val="00F442A0"/>
    <w:rsid w:val="00F46436"/>
    <w:rsid w:val="00F47BF9"/>
    <w:rsid w:val="00F51913"/>
    <w:rsid w:val="00F5334D"/>
    <w:rsid w:val="00F53964"/>
    <w:rsid w:val="00F616D5"/>
    <w:rsid w:val="00F626BA"/>
    <w:rsid w:val="00F6416F"/>
    <w:rsid w:val="00F70CB4"/>
    <w:rsid w:val="00F72A0B"/>
    <w:rsid w:val="00F767A1"/>
    <w:rsid w:val="00F819A6"/>
    <w:rsid w:val="00F835BD"/>
    <w:rsid w:val="00F86D84"/>
    <w:rsid w:val="00F91B25"/>
    <w:rsid w:val="00F94A9F"/>
    <w:rsid w:val="00F96241"/>
    <w:rsid w:val="00F96CFD"/>
    <w:rsid w:val="00FA124D"/>
    <w:rsid w:val="00FA5B6D"/>
    <w:rsid w:val="00FB0F15"/>
    <w:rsid w:val="00FB3E71"/>
    <w:rsid w:val="00FB479C"/>
    <w:rsid w:val="00FC390B"/>
    <w:rsid w:val="00FD1877"/>
    <w:rsid w:val="00FD3824"/>
    <w:rsid w:val="00FD72B9"/>
    <w:rsid w:val="00FE10D1"/>
    <w:rsid w:val="00FE13E7"/>
    <w:rsid w:val="00FE3543"/>
    <w:rsid w:val="00FE45D9"/>
    <w:rsid w:val="00FF1ABE"/>
    <w:rsid w:val="00FF3BC5"/>
    <w:rsid w:val="00FF3EFD"/>
    <w:rsid w:val="00FF66CC"/>
    <w:rsid w:val="017E71B3"/>
    <w:rsid w:val="01BA2D59"/>
    <w:rsid w:val="0535332C"/>
    <w:rsid w:val="076B0233"/>
    <w:rsid w:val="08D01ABF"/>
    <w:rsid w:val="0A21261E"/>
    <w:rsid w:val="0E572504"/>
    <w:rsid w:val="17E112AA"/>
    <w:rsid w:val="1A2B0001"/>
    <w:rsid w:val="1B045D62"/>
    <w:rsid w:val="1B1207EE"/>
    <w:rsid w:val="1B6E2645"/>
    <w:rsid w:val="201D7E45"/>
    <w:rsid w:val="206C36CA"/>
    <w:rsid w:val="20932631"/>
    <w:rsid w:val="21263EC5"/>
    <w:rsid w:val="223B3BD7"/>
    <w:rsid w:val="2297354C"/>
    <w:rsid w:val="22CD3B6F"/>
    <w:rsid w:val="24377203"/>
    <w:rsid w:val="287A2B29"/>
    <w:rsid w:val="28B867BB"/>
    <w:rsid w:val="2ACD0D79"/>
    <w:rsid w:val="2D637F86"/>
    <w:rsid w:val="2DA0431B"/>
    <w:rsid w:val="2E60165D"/>
    <w:rsid w:val="33A339D8"/>
    <w:rsid w:val="33AD38D6"/>
    <w:rsid w:val="345F0C98"/>
    <w:rsid w:val="379F24CF"/>
    <w:rsid w:val="390521DA"/>
    <w:rsid w:val="39357C7E"/>
    <w:rsid w:val="3B3A4A62"/>
    <w:rsid w:val="3D780066"/>
    <w:rsid w:val="3E8647F8"/>
    <w:rsid w:val="3EE022D9"/>
    <w:rsid w:val="4147342C"/>
    <w:rsid w:val="442C2951"/>
    <w:rsid w:val="451F70A4"/>
    <w:rsid w:val="45937381"/>
    <w:rsid w:val="46CA5B19"/>
    <w:rsid w:val="4929014D"/>
    <w:rsid w:val="4A040764"/>
    <w:rsid w:val="4B9E1C19"/>
    <w:rsid w:val="4FD34D79"/>
    <w:rsid w:val="50F64EE2"/>
    <w:rsid w:val="52546BE0"/>
    <w:rsid w:val="525C3CE7"/>
    <w:rsid w:val="575171CD"/>
    <w:rsid w:val="5998290B"/>
    <w:rsid w:val="5A4F43A3"/>
    <w:rsid w:val="5F114A80"/>
    <w:rsid w:val="5F7F5B1A"/>
    <w:rsid w:val="60B112C3"/>
    <w:rsid w:val="6185493D"/>
    <w:rsid w:val="626C5B2B"/>
    <w:rsid w:val="62700F23"/>
    <w:rsid w:val="64A1770E"/>
    <w:rsid w:val="6533305F"/>
    <w:rsid w:val="65BF6E76"/>
    <w:rsid w:val="65E174EC"/>
    <w:rsid w:val="68693658"/>
    <w:rsid w:val="68F43E0C"/>
    <w:rsid w:val="6A6D0C6E"/>
    <w:rsid w:val="6B7ECC9D"/>
    <w:rsid w:val="6C0307BA"/>
    <w:rsid w:val="6D1E0B34"/>
    <w:rsid w:val="6DE66FC5"/>
    <w:rsid w:val="6ED3030E"/>
    <w:rsid w:val="6F8A1A3C"/>
    <w:rsid w:val="715819C8"/>
    <w:rsid w:val="73F96853"/>
    <w:rsid w:val="745B3B4C"/>
    <w:rsid w:val="747B3E67"/>
    <w:rsid w:val="74AB3B9F"/>
    <w:rsid w:val="75C82DB3"/>
    <w:rsid w:val="76B25302"/>
    <w:rsid w:val="797265CF"/>
    <w:rsid w:val="79757976"/>
    <w:rsid w:val="79AD6567"/>
    <w:rsid w:val="7ADB489D"/>
    <w:rsid w:val="7F282013"/>
    <w:rsid w:val="7F6E1FD2"/>
    <w:rsid w:val="7FC97F8D"/>
    <w:rsid w:val="7FD24A6A"/>
    <w:rsid w:val="F6EF9B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nhideWhenUsed="0" w:uiPriority="0" w:semiHidden="0"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宋体" w:cstheme="minorBidi"/>
      <w:sz w:val="22"/>
      <w:szCs w:val="22"/>
      <w:lang w:val="en-US" w:eastAsia="zh-CN" w:bidi="ar-SA"/>
    </w:rPr>
  </w:style>
  <w:style w:type="paragraph" w:styleId="3">
    <w:name w:val="heading 1"/>
    <w:basedOn w:val="1"/>
    <w:next w:val="1"/>
    <w:link w:val="28"/>
    <w:qFormat/>
    <w:uiPriority w:val="0"/>
    <w:pPr>
      <w:keepNext/>
      <w:keepLines/>
      <w:widowControl w:val="0"/>
      <w:adjustRightInd/>
      <w:snapToGrid/>
      <w:spacing w:before="120" w:after="120" w:line="360" w:lineRule="auto"/>
      <w:jc w:val="center"/>
      <w:outlineLvl w:val="0"/>
    </w:pPr>
    <w:rPr>
      <w:rFonts w:ascii="Times New Roman" w:hAnsi="Times New Roman" w:cs="Times New Roman"/>
      <w:b/>
      <w:bCs/>
      <w:kern w:val="44"/>
      <w:sz w:val="30"/>
      <w:szCs w:val="44"/>
    </w:rPr>
  </w:style>
  <w:style w:type="paragraph" w:styleId="4">
    <w:name w:val="heading 3"/>
    <w:basedOn w:val="1"/>
    <w:next w:val="1"/>
    <w:link w:val="29"/>
    <w:qFormat/>
    <w:uiPriority w:val="0"/>
    <w:pPr>
      <w:keepNext/>
      <w:keepLines/>
      <w:widowControl w:val="0"/>
      <w:adjustRightInd/>
      <w:snapToGrid/>
      <w:spacing w:before="260" w:after="260" w:line="416" w:lineRule="auto"/>
      <w:jc w:val="both"/>
      <w:outlineLvl w:val="2"/>
    </w:pPr>
    <w:rPr>
      <w:rFonts w:ascii="Times New Roman" w:hAnsi="Times New Roman" w:cs="Times New Roman"/>
      <w:b/>
      <w:bCs/>
      <w:kern w:val="2"/>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9"/>
    <w:qFormat/>
    <w:uiPriority w:val="1"/>
    <w:pPr>
      <w:widowControl w:val="0"/>
      <w:autoSpaceDE w:val="0"/>
      <w:autoSpaceDN w:val="0"/>
      <w:adjustRightInd/>
      <w:snapToGrid/>
      <w:spacing w:after="0"/>
    </w:pPr>
    <w:rPr>
      <w:rFonts w:ascii="宋体" w:hAnsi="宋体" w:cs="宋体"/>
      <w:sz w:val="29"/>
      <w:szCs w:val="29"/>
      <w:lang w:eastAsia="en-US"/>
    </w:rPr>
  </w:style>
  <w:style w:type="paragraph" w:styleId="5">
    <w:name w:val="table of authorities"/>
    <w:basedOn w:val="1"/>
    <w:next w:val="1"/>
    <w:qFormat/>
    <w:uiPriority w:val="99"/>
    <w:pPr>
      <w:widowControl w:val="0"/>
      <w:adjustRightInd/>
      <w:snapToGrid/>
      <w:spacing w:after="0"/>
      <w:ind w:left="420" w:leftChars="200"/>
      <w:jc w:val="both"/>
    </w:pPr>
    <w:rPr>
      <w:rFonts w:ascii="Calibri" w:hAnsi="Calibri" w:cs="Times New Roman"/>
      <w:kern w:val="2"/>
      <w:sz w:val="21"/>
      <w:szCs w:val="24"/>
    </w:rPr>
  </w:style>
  <w:style w:type="paragraph" w:styleId="6">
    <w:name w:val="Normal Indent"/>
    <w:basedOn w:val="1"/>
    <w:qFormat/>
    <w:uiPriority w:val="0"/>
    <w:pPr>
      <w:widowControl w:val="0"/>
      <w:adjustRightInd/>
      <w:snapToGrid/>
      <w:spacing w:after="0"/>
      <w:ind w:firstLine="420" w:firstLineChars="200"/>
      <w:jc w:val="both"/>
    </w:pPr>
    <w:rPr>
      <w:rFonts w:ascii="Times New Roman" w:hAnsi="Times New Roman" w:cs="Times New Roman"/>
      <w:kern w:val="2"/>
      <w:sz w:val="21"/>
      <w:szCs w:val="24"/>
    </w:rPr>
  </w:style>
  <w:style w:type="paragraph" w:styleId="7">
    <w:name w:val="annotation text"/>
    <w:basedOn w:val="1"/>
    <w:link w:val="30"/>
    <w:qFormat/>
    <w:uiPriority w:val="0"/>
    <w:pPr>
      <w:widowControl w:val="0"/>
      <w:adjustRightInd/>
      <w:snapToGrid/>
      <w:spacing w:after="0"/>
    </w:pPr>
    <w:rPr>
      <w:rFonts w:ascii="Times New Roman" w:hAnsi="Times New Roman" w:cs="Times New Roman"/>
      <w:kern w:val="2"/>
      <w:sz w:val="21"/>
      <w:szCs w:val="20"/>
    </w:rPr>
  </w:style>
  <w:style w:type="paragraph" w:styleId="8">
    <w:name w:val="Plain Text"/>
    <w:basedOn w:val="1"/>
    <w:qFormat/>
    <w:uiPriority w:val="0"/>
    <w:pPr>
      <w:spacing w:line="360" w:lineRule="auto"/>
      <w:jc w:val="center"/>
    </w:pPr>
    <w:rPr>
      <w:rFonts w:asciiTheme="majorEastAsia" w:hAnsiTheme="majorEastAsia" w:eastAsiaTheme="majorEastAsia" w:cstheme="minorBidi"/>
      <w:color w:val="0D0D0D" w:themeColor="text1" w:themeTint="F2"/>
      <w:sz w:val="24"/>
      <w14:textFill>
        <w14:solidFill>
          <w14:schemeClr w14:val="tx1">
            <w14:lumMod w14:val="95000"/>
            <w14:lumOff w14:val="5000"/>
          </w14:schemeClr>
        </w14:solidFill>
      </w14:textFill>
    </w:rPr>
  </w:style>
  <w:style w:type="paragraph" w:styleId="9">
    <w:name w:val="Body Text Indent 2"/>
    <w:basedOn w:val="1"/>
    <w:link w:val="44"/>
    <w:qFormat/>
    <w:uiPriority w:val="0"/>
    <w:pPr>
      <w:widowControl w:val="0"/>
      <w:adjustRightInd/>
      <w:snapToGrid/>
      <w:spacing w:after="120" w:line="480" w:lineRule="auto"/>
      <w:ind w:left="420" w:leftChars="200"/>
      <w:jc w:val="both"/>
    </w:pPr>
    <w:rPr>
      <w:rFonts w:ascii="Times New Roman" w:hAnsi="Times New Roman" w:cs="Times New Roman"/>
      <w:kern w:val="2"/>
      <w:sz w:val="21"/>
      <w:szCs w:val="24"/>
      <w:lang w:val="zh-CN"/>
    </w:rPr>
  </w:style>
  <w:style w:type="paragraph" w:styleId="10">
    <w:name w:val="Balloon Text"/>
    <w:basedOn w:val="1"/>
    <w:link w:val="32"/>
    <w:semiHidden/>
    <w:qFormat/>
    <w:uiPriority w:val="0"/>
    <w:pPr>
      <w:widowControl w:val="0"/>
      <w:adjustRightInd/>
      <w:snapToGrid/>
      <w:spacing w:after="0"/>
      <w:jc w:val="both"/>
    </w:pPr>
    <w:rPr>
      <w:rFonts w:ascii="Times New Roman" w:hAnsi="Times New Roman" w:cs="Times New Roman"/>
      <w:kern w:val="2"/>
      <w:sz w:val="18"/>
      <w:szCs w:val="18"/>
    </w:rPr>
  </w:style>
  <w:style w:type="paragraph" w:styleId="11">
    <w:name w:val="footer"/>
    <w:basedOn w:val="1"/>
    <w:link w:val="27"/>
    <w:unhideWhenUsed/>
    <w:qFormat/>
    <w:uiPriority w:val="99"/>
    <w:pPr>
      <w:tabs>
        <w:tab w:val="center" w:pos="4153"/>
        <w:tab w:val="right" w:pos="8306"/>
      </w:tabs>
    </w:pPr>
    <w:rPr>
      <w:sz w:val="18"/>
      <w:szCs w:val="18"/>
    </w:rPr>
  </w:style>
  <w:style w:type="paragraph" w:styleId="12">
    <w:name w:val="header"/>
    <w:basedOn w:val="1"/>
    <w:next w:val="1"/>
    <w:link w:val="26"/>
    <w:unhideWhenUsed/>
    <w:qFormat/>
    <w:uiPriority w:val="0"/>
    <w:pPr>
      <w:pBdr>
        <w:bottom w:val="single" w:color="auto" w:sz="6" w:space="1"/>
      </w:pBdr>
      <w:tabs>
        <w:tab w:val="center" w:pos="4153"/>
        <w:tab w:val="right" w:pos="8306"/>
      </w:tabs>
      <w:jc w:val="center"/>
    </w:pPr>
    <w:rPr>
      <w:sz w:val="18"/>
      <w:szCs w:val="18"/>
    </w:rPr>
  </w:style>
  <w:style w:type="paragraph" w:styleId="13">
    <w:name w:val="toc 1"/>
    <w:basedOn w:val="1"/>
    <w:next w:val="1"/>
    <w:semiHidden/>
    <w:qFormat/>
    <w:uiPriority w:val="0"/>
    <w:pPr>
      <w:widowControl w:val="0"/>
      <w:adjustRightInd/>
      <w:snapToGrid/>
      <w:spacing w:after="0" w:line="320" w:lineRule="exact"/>
      <w:ind w:firstLine="480" w:firstLineChars="200"/>
      <w:jc w:val="both"/>
    </w:pPr>
    <w:rPr>
      <w:rFonts w:ascii="黑体" w:hAnsi="宋体" w:eastAsia="黑体" w:cs="Times New Roman"/>
      <w:bCs/>
      <w:kern w:val="2"/>
      <w:sz w:val="24"/>
      <w:szCs w:val="20"/>
    </w:rPr>
  </w:style>
  <w:style w:type="paragraph" w:styleId="14">
    <w:name w:val="Normal (Web)"/>
    <w:basedOn w:val="1"/>
    <w:qFormat/>
    <w:uiPriority w:val="0"/>
    <w:pPr>
      <w:adjustRightInd/>
      <w:snapToGrid/>
      <w:spacing w:before="100" w:beforeAutospacing="1" w:after="100" w:afterAutospacing="1"/>
    </w:pPr>
    <w:rPr>
      <w:rFonts w:ascii="宋体" w:hAnsi="宋体" w:cs="宋体"/>
      <w:sz w:val="24"/>
      <w:szCs w:val="24"/>
    </w:rPr>
  </w:style>
  <w:style w:type="paragraph" w:styleId="15">
    <w:name w:val="annotation subject"/>
    <w:basedOn w:val="7"/>
    <w:next w:val="7"/>
    <w:link w:val="38"/>
    <w:semiHidden/>
    <w:unhideWhenUsed/>
    <w:qFormat/>
    <w:uiPriority w:val="99"/>
    <w:pPr>
      <w:widowControl/>
      <w:adjustRightInd w:val="0"/>
      <w:snapToGrid w:val="0"/>
      <w:spacing w:after="200"/>
    </w:pPr>
    <w:rPr>
      <w:rFonts w:ascii="Tahoma" w:hAnsi="Tahoma" w:cstheme="minorBidi"/>
      <w:b/>
      <w:bCs/>
      <w:kern w:val="0"/>
      <w:sz w:val="22"/>
      <w:szCs w:val="22"/>
    </w:rPr>
  </w:style>
  <w:style w:type="paragraph" w:styleId="16">
    <w:name w:val="Body Text First Indent"/>
    <w:basedOn w:val="2"/>
    <w:link w:val="42"/>
    <w:semiHidden/>
    <w:unhideWhenUsed/>
    <w:qFormat/>
    <w:uiPriority w:val="99"/>
    <w:pPr>
      <w:widowControl/>
      <w:autoSpaceDE/>
      <w:autoSpaceDN/>
      <w:adjustRightInd w:val="0"/>
      <w:snapToGrid w:val="0"/>
      <w:spacing w:after="120"/>
      <w:ind w:firstLine="420" w:firstLineChars="100"/>
    </w:pPr>
    <w:rPr>
      <w:rFonts w:ascii="Tahoma" w:hAnsi="Tahoma" w:cstheme="minorBidi"/>
      <w:sz w:val="22"/>
      <w:szCs w:val="22"/>
      <w:lang w:eastAsia="zh-CN"/>
    </w:rPr>
  </w:style>
  <w:style w:type="table" w:styleId="18">
    <w:name w:val="Table Grid"/>
    <w:basedOn w:val="17"/>
    <w:qFormat/>
    <w:uiPriority w:val="39"/>
    <w:pPr>
      <w:widowControl w:val="0"/>
      <w:jc w:val="both"/>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0"/>
  </w:style>
  <w:style w:type="character" w:styleId="22">
    <w:name w:val="Hyperlink"/>
    <w:basedOn w:val="19"/>
    <w:qFormat/>
    <w:uiPriority w:val="0"/>
    <w:rPr>
      <w:color w:val="0000FF"/>
      <w:u w:val="single"/>
    </w:rPr>
  </w:style>
  <w:style w:type="character" w:styleId="23">
    <w:name w:val="annotation reference"/>
    <w:basedOn w:val="19"/>
    <w:unhideWhenUsed/>
    <w:qFormat/>
    <w:uiPriority w:val="99"/>
    <w:rPr>
      <w:sz w:val="21"/>
      <w:szCs w:val="21"/>
    </w:rPr>
  </w:style>
  <w:style w:type="character" w:styleId="24">
    <w:name w:val="HTML Sample"/>
    <w:basedOn w:val="19"/>
    <w:qFormat/>
    <w:uiPriority w:val="0"/>
    <w:rPr>
      <w:rFonts w:ascii="Courier New" w:hAnsi="Courier New"/>
    </w:rPr>
  </w:style>
  <w:style w:type="paragraph" w:customStyle="1" w:styleId="25">
    <w:name w:val="11111"/>
    <w:basedOn w:val="1"/>
    <w:next w:val="1"/>
    <w:qFormat/>
    <w:uiPriority w:val="99"/>
    <w:rPr>
      <w:rFonts w:ascii="宋体" w:hAnsi="宋体" w:cs="宋体"/>
    </w:rPr>
  </w:style>
  <w:style w:type="character" w:customStyle="1" w:styleId="26">
    <w:name w:val="页眉 字符"/>
    <w:basedOn w:val="19"/>
    <w:link w:val="12"/>
    <w:semiHidden/>
    <w:qFormat/>
    <w:uiPriority w:val="99"/>
    <w:rPr>
      <w:rFonts w:ascii="Tahoma" w:hAnsi="Tahoma"/>
      <w:sz w:val="18"/>
      <w:szCs w:val="18"/>
    </w:rPr>
  </w:style>
  <w:style w:type="character" w:customStyle="1" w:styleId="27">
    <w:name w:val="页脚 字符"/>
    <w:basedOn w:val="19"/>
    <w:link w:val="11"/>
    <w:qFormat/>
    <w:uiPriority w:val="99"/>
    <w:rPr>
      <w:rFonts w:ascii="Tahoma" w:hAnsi="Tahoma"/>
      <w:sz w:val="18"/>
      <w:szCs w:val="18"/>
    </w:rPr>
  </w:style>
  <w:style w:type="character" w:customStyle="1" w:styleId="28">
    <w:name w:val="标题 1 字符"/>
    <w:basedOn w:val="19"/>
    <w:link w:val="3"/>
    <w:qFormat/>
    <w:uiPriority w:val="0"/>
    <w:rPr>
      <w:rFonts w:ascii="Times New Roman" w:hAnsi="Times New Roman" w:cs="Times New Roman"/>
      <w:b/>
      <w:bCs/>
      <w:kern w:val="44"/>
      <w:sz w:val="30"/>
      <w:szCs w:val="44"/>
    </w:rPr>
  </w:style>
  <w:style w:type="character" w:customStyle="1" w:styleId="29">
    <w:name w:val="标题 3 字符"/>
    <w:basedOn w:val="19"/>
    <w:link w:val="4"/>
    <w:qFormat/>
    <w:uiPriority w:val="0"/>
    <w:rPr>
      <w:rFonts w:ascii="Times New Roman" w:hAnsi="Times New Roman" w:cs="Times New Roman"/>
      <w:b/>
      <w:bCs/>
      <w:kern w:val="2"/>
      <w:sz w:val="32"/>
      <w:szCs w:val="32"/>
    </w:rPr>
  </w:style>
  <w:style w:type="character" w:customStyle="1" w:styleId="30">
    <w:name w:val="批注文字 字符"/>
    <w:basedOn w:val="19"/>
    <w:link w:val="7"/>
    <w:qFormat/>
    <w:uiPriority w:val="0"/>
    <w:rPr>
      <w:rFonts w:ascii="Times New Roman" w:hAnsi="Times New Roman" w:cs="Times New Roman"/>
      <w:kern w:val="2"/>
      <w:sz w:val="21"/>
      <w:szCs w:val="20"/>
    </w:rPr>
  </w:style>
  <w:style w:type="paragraph" w:customStyle="1" w:styleId="31">
    <w:name w:val="xl33"/>
    <w:basedOn w:val="1"/>
    <w:qFormat/>
    <w:uiPriority w:val="0"/>
    <w:pPr>
      <w:pBdr>
        <w:left w:val="single" w:color="auto" w:sz="4" w:space="0"/>
        <w:bottom w:val="single" w:color="auto" w:sz="4" w:space="0"/>
        <w:right w:val="single" w:color="auto" w:sz="4" w:space="0"/>
      </w:pBdr>
      <w:adjustRightInd/>
      <w:snapToGrid/>
      <w:spacing w:before="100" w:beforeAutospacing="1" w:after="100" w:afterAutospacing="1"/>
      <w:jc w:val="center"/>
    </w:pPr>
    <w:rPr>
      <w:rFonts w:ascii="楷体_GB2312" w:hAnsi="宋体" w:eastAsia="楷体_GB2312" w:cs="Times New Roman"/>
      <w:sz w:val="24"/>
      <w:szCs w:val="24"/>
    </w:rPr>
  </w:style>
  <w:style w:type="character" w:customStyle="1" w:styleId="32">
    <w:name w:val="批注框文本 字符"/>
    <w:basedOn w:val="19"/>
    <w:link w:val="10"/>
    <w:semiHidden/>
    <w:qFormat/>
    <w:uiPriority w:val="0"/>
    <w:rPr>
      <w:rFonts w:ascii="Times New Roman" w:hAnsi="Times New Roman" w:cs="Times New Roman"/>
      <w:kern w:val="2"/>
      <w:sz w:val="18"/>
      <w:szCs w:val="18"/>
    </w:rPr>
  </w:style>
  <w:style w:type="paragraph" w:customStyle="1" w:styleId="33">
    <w:name w:val="Char"/>
    <w:basedOn w:val="1"/>
    <w:qFormat/>
    <w:uiPriority w:val="0"/>
    <w:pPr>
      <w:widowControl w:val="0"/>
      <w:tabs>
        <w:tab w:val="left" w:pos="360"/>
      </w:tabs>
      <w:adjustRightInd/>
      <w:snapToGrid/>
      <w:spacing w:after="0"/>
      <w:jc w:val="both"/>
    </w:pPr>
    <w:rPr>
      <w:rFonts w:ascii="Times New Roman" w:hAnsi="Times New Roman" w:cs="Times New Roman"/>
      <w:kern w:val="2"/>
      <w:sz w:val="24"/>
      <w:szCs w:val="24"/>
    </w:rPr>
  </w:style>
  <w:style w:type="paragraph" w:customStyle="1" w:styleId="34">
    <w:name w:val="Char Char Char"/>
    <w:basedOn w:val="1"/>
    <w:qFormat/>
    <w:uiPriority w:val="0"/>
    <w:pPr>
      <w:widowControl w:val="0"/>
      <w:adjustRightInd/>
      <w:snapToGrid/>
      <w:spacing w:after="0"/>
      <w:jc w:val="both"/>
    </w:pPr>
    <w:rPr>
      <w:rFonts w:ascii="Times New Roman" w:hAnsi="Times New Roman" w:cs="Times New Roman"/>
      <w:kern w:val="2"/>
      <w:sz w:val="21"/>
      <w:szCs w:val="20"/>
    </w:rPr>
  </w:style>
  <w:style w:type="paragraph" w:customStyle="1" w:styleId="35">
    <w:name w:val="Char2 Char Char Char Char Char Char Char"/>
    <w:basedOn w:val="1"/>
    <w:qFormat/>
    <w:uiPriority w:val="0"/>
    <w:pPr>
      <w:widowControl w:val="0"/>
      <w:adjustRightInd/>
      <w:snapToGrid/>
      <w:spacing w:after="0"/>
      <w:jc w:val="both"/>
    </w:pPr>
    <w:rPr>
      <w:rFonts w:cs="Times New Roman"/>
      <w:kern w:val="2"/>
      <w:sz w:val="24"/>
      <w:szCs w:val="20"/>
    </w:rPr>
  </w:style>
  <w:style w:type="paragraph" w:customStyle="1" w:styleId="36">
    <w:name w:val="1_0"/>
    <w:basedOn w:val="1"/>
    <w:next w:val="1"/>
    <w:qFormat/>
    <w:uiPriority w:val="0"/>
    <w:pPr>
      <w:widowControl w:val="0"/>
      <w:adjustRightInd/>
      <w:snapToGrid/>
      <w:spacing w:after="0"/>
      <w:jc w:val="both"/>
    </w:pPr>
    <w:rPr>
      <w:rFonts w:ascii="宋体" w:hAnsi="Courier New" w:cs="Times New Roman"/>
      <w:kern w:val="2"/>
      <w:sz w:val="21"/>
      <w:szCs w:val="20"/>
    </w:rPr>
  </w:style>
  <w:style w:type="paragraph" w:styleId="37">
    <w:name w:val="List Paragraph"/>
    <w:basedOn w:val="1"/>
    <w:qFormat/>
    <w:uiPriority w:val="34"/>
    <w:pPr>
      <w:widowControl w:val="0"/>
      <w:adjustRightInd/>
      <w:snapToGrid/>
      <w:spacing w:after="0"/>
      <w:ind w:firstLine="420" w:firstLineChars="200"/>
      <w:jc w:val="both"/>
    </w:pPr>
    <w:rPr>
      <w:rFonts w:ascii="Times New Roman" w:hAnsi="Times New Roman" w:cs="Times New Roman"/>
      <w:kern w:val="2"/>
      <w:sz w:val="21"/>
      <w:szCs w:val="24"/>
    </w:rPr>
  </w:style>
  <w:style w:type="character" w:customStyle="1" w:styleId="38">
    <w:name w:val="批注主题 字符"/>
    <w:basedOn w:val="30"/>
    <w:link w:val="15"/>
    <w:semiHidden/>
    <w:qFormat/>
    <w:uiPriority w:val="99"/>
    <w:rPr>
      <w:rFonts w:ascii="Tahoma" w:hAnsi="Tahoma" w:cs="Times New Roman"/>
      <w:b/>
      <w:bCs/>
      <w:kern w:val="2"/>
      <w:sz w:val="22"/>
      <w:szCs w:val="22"/>
    </w:rPr>
  </w:style>
  <w:style w:type="character" w:customStyle="1" w:styleId="39">
    <w:name w:val="正文文本 字符"/>
    <w:basedOn w:val="19"/>
    <w:link w:val="2"/>
    <w:qFormat/>
    <w:uiPriority w:val="1"/>
    <w:rPr>
      <w:rFonts w:cs="宋体"/>
      <w:sz w:val="29"/>
      <w:szCs w:val="29"/>
      <w:lang w:eastAsia="en-US"/>
    </w:rPr>
  </w:style>
  <w:style w:type="paragraph" w:customStyle="1" w:styleId="40">
    <w:name w:val="标题 21"/>
    <w:basedOn w:val="1"/>
    <w:qFormat/>
    <w:uiPriority w:val="1"/>
    <w:pPr>
      <w:widowControl w:val="0"/>
      <w:autoSpaceDE w:val="0"/>
      <w:autoSpaceDN w:val="0"/>
      <w:adjustRightInd/>
      <w:snapToGrid/>
      <w:spacing w:after="0" w:line="301" w:lineRule="exact"/>
      <w:outlineLvl w:val="2"/>
    </w:pPr>
    <w:rPr>
      <w:rFonts w:ascii="宋体" w:hAnsi="宋体" w:cs="宋体"/>
      <w:sz w:val="30"/>
      <w:szCs w:val="30"/>
      <w:lang w:eastAsia="en-US"/>
    </w:rPr>
  </w:style>
  <w:style w:type="character" w:customStyle="1" w:styleId="41">
    <w:name w:val="未处理的提及1"/>
    <w:basedOn w:val="19"/>
    <w:semiHidden/>
    <w:unhideWhenUsed/>
    <w:qFormat/>
    <w:uiPriority w:val="99"/>
    <w:rPr>
      <w:color w:val="605E5C"/>
      <w:shd w:val="clear" w:color="auto" w:fill="E1DFDD"/>
    </w:rPr>
  </w:style>
  <w:style w:type="character" w:customStyle="1" w:styleId="42">
    <w:name w:val="正文文本首行缩进 字符"/>
    <w:basedOn w:val="39"/>
    <w:link w:val="16"/>
    <w:semiHidden/>
    <w:qFormat/>
    <w:uiPriority w:val="99"/>
    <w:rPr>
      <w:rFonts w:ascii="Tahoma" w:hAnsi="Tahoma" w:cs="宋体"/>
      <w:sz w:val="22"/>
      <w:szCs w:val="22"/>
      <w:lang w:eastAsia="en-US"/>
    </w:rPr>
  </w:style>
  <w:style w:type="character" w:customStyle="1" w:styleId="43">
    <w:name w:val="正文文本缩进 2 字符"/>
    <w:basedOn w:val="19"/>
    <w:semiHidden/>
    <w:qFormat/>
    <w:uiPriority w:val="99"/>
    <w:rPr>
      <w:rFonts w:ascii="Tahoma" w:hAnsi="Tahoma"/>
      <w:sz w:val="22"/>
      <w:szCs w:val="22"/>
    </w:rPr>
  </w:style>
  <w:style w:type="character" w:customStyle="1" w:styleId="44">
    <w:name w:val="正文文本缩进 2 字符1"/>
    <w:link w:val="9"/>
    <w:qFormat/>
    <w:uiPriority w:val="0"/>
    <w:rPr>
      <w:rFonts w:ascii="Times New Roman" w:hAnsi="Times New Roman" w:cs="Times New Roman"/>
      <w:kern w:val="2"/>
      <w:sz w:val="21"/>
      <w:szCs w:val="24"/>
      <w:lang w:val="zh-CN" w:eastAsia="zh-CN"/>
    </w:rPr>
  </w:style>
  <w:style w:type="paragraph" w:customStyle="1" w:styleId="45">
    <w:name w:val="Revision"/>
    <w:hidden/>
    <w:unhideWhenUsed/>
    <w:qFormat/>
    <w:uiPriority w:val="99"/>
    <w:rPr>
      <w:rFonts w:ascii="Tahoma" w:hAnsi="Tahoma" w:eastAsia="宋体" w:cstheme="minorBidi"/>
      <w:sz w:val="22"/>
      <w:szCs w:val="22"/>
      <w:lang w:val="en-US" w:eastAsia="zh-CN" w:bidi="ar-SA"/>
    </w:rPr>
  </w:style>
  <w:style w:type="paragraph" w:customStyle="1" w:styleId="46">
    <w:name w:val="首行缩进"/>
    <w:basedOn w:val="1"/>
    <w:qFormat/>
    <w:uiPriority w:val="0"/>
    <w:pPr>
      <w:spacing w:line="360" w:lineRule="auto"/>
      <w:ind w:firstLine="480" w:firstLineChars="200"/>
    </w:pPr>
    <w:rPr>
      <w:rFonts w:ascii="Calibri" w:hAnsi="Calibri"/>
      <w:sz w:val="24"/>
      <w:szCs w:val="22"/>
      <w:lang w:val="zh-CN"/>
    </w:rPr>
  </w:style>
  <w:style w:type="paragraph" w:customStyle="1" w:styleId="47">
    <w:name w:val="Default"/>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92</Pages>
  <Words>17448</Words>
  <Characters>18665</Characters>
  <DocSecurity>0</DocSecurity>
  <Lines>1476</Lines>
  <Paragraphs>1173</Paragraphs>
  <ScaleCrop>false</ScaleCrop>
  <LinksUpToDate>false</LinksUpToDate>
  <CharactersWithSpaces>19239</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2025-05-07T01:26:00Z</dcterms:created>
  <dcterms:modified xsi:type="dcterms:W3CDTF">2025-06-19T01:12:27Z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65F7DE68FA1C4196BF692155EB1F5CFC_13</vt:lpwstr>
  </property>
  <property fmtid="{D5CDD505-2E9C-101B-9397-08002B2CF9AE}" pid="4" name="KSOTemplateDocerSaveRecord">
    <vt:lpwstr>eyJoZGlkIjoiZTM5MjQ3OTdlZjNmMmQyYTAzZjdkOWVmOGYyMGM3ZTIiLCJ1c2VySWQiOiIyNTMwOTgzOTEifQ==</vt:lpwstr>
  </property>
</Properties>
</file>